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A55" w:rsidRPr="00584EDA" w:rsidRDefault="003F643C" w:rsidP="001F7A55">
      <w:pPr>
        <w:rPr>
          <w:lang w:val="en-GB"/>
        </w:rPr>
      </w:pPr>
      <w:r>
        <w:rPr>
          <w:noProof/>
          <w:lang w:eastAsia="hu-HU"/>
        </w:rPr>
        <w:pict>
          <v:group id="Csoportba foglalás 45" o:spid="_x0000_s1026" style="position:absolute;margin-left:1850.15pt;margin-top:0;width:250.55pt;height:829.5pt;z-index:251660288;mso-position-horizontal:right;mso-position-horizontal-relative:page;mso-position-vertical:top;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" o:allowincell="f">
            <v:group id="Group 12"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rect id="Rectangle 13" o:spid="_x0000_s1028" style="position:absolute;left:7755;width:4505;height:15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9TNcQA&#10;AADbAAAADwAAAGRycy9kb3ducmV2LnhtbESPT2vCQBDF7wW/wzKCl6K7jaWV1FVKQfDQg9VSr0Nm&#10;TEKzs2l21dRP7xYKHh/vz483X/auUSfuQu3FwsPEgGIpPNVSWvjcrcYzUCGiEDZe2MIvB1guBndz&#10;zMmf5YNP21iqNCIhRwtVjG2udSgqdhgmvmVJ3sF3DmOSXampw3Mad43OjHnSDmtJhApbfqu4+N4e&#10;XYIcppv7dp9lNCPSxO/m8vVjrB0N+9cXUJH7eAv/t9dk4fEZ/r6kH6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vUzXEAAAA2wAAAA8AAAAAAAAAAAAAAAAAmAIAAGRycy9k&#10;b3ducmV2LnhtbFBLBQYAAAAABAAEAPUAAACJAwAAAAA=&#10;" fillcolor="#1fb2d5" strokecolor="#f2f2f2" strokeweight="3pt">
                <v:shadow on="t" color="#974706" opacity=".5" offset="1pt"/>
              </v:rect>
              <v:rect id="Rectangle 13" o:spid="_x0000_s1029" alt="Light vertical" style="position:absolute;left:7560;top:8;width:195;height:158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yTosQA&#10;AADbAAAADwAAAGRycy9kb3ducmV2LnhtbERPz2vCMBS+C/4P4Qm7yEw3VGY1igrCNnaYVQe7PZtn&#10;W9e8lCbT+N8vh4HHj+/3bBFMLS7UusqygqdBAoI4t7riQsF+t3l8AeE8ssbaMim4kYPFvNuZYart&#10;lbd0yXwhYgi7FBWU3jeplC4vyaAb2IY4cifbGvQRtoXULV5juKnlc5KMpcGKY0OJDa1Lyn+yX6Ng&#10;NXr/3H8Mw9fyfDxMJkn/7Tv0R0o99MJyCsJT8Hfxv/tVKxjGsfFL/AF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8k6LEAAAA2wAAAA8AAAAAAAAAAAAAAAAAmAIAAGRycy9k&#10;b3ducmV2LnhtbFBLBQYAAAAABAAEAPUAAACJAwAAAAA=&#10;" fillcolor="#9bbb59" stroked="f" strokecolor="white" strokeweight="1pt">
                <v:fill r:id="rId8" o:title="" opacity="52428f" o:opacity2="52428f" type="pattern"/>
                <v:shadow color="#d8d8d8" offset="3pt,3pt"/>
              </v:rect>
            </v:group>
            <v:rect id="_x0000_s1030" style="position:absolute;left:7329;top:11873;width:4889;height:3247;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ARMEA&#10;AADbAAAADwAAAGRycy9kb3ducmV2LnhtbERPz2vCMBS+C/sfwhvsIjNx4tg6owzZYF4UOxGPr81b&#10;U2xeSpNp/e/NQfD48f2eLXrXiBN1ofasYTxSIIhLb2quNOx+v5/fQISIbLDxTBouFGAxfxjMMDP+&#10;zFs65bESKYRDhhpsjG0mZSgtOQwj3xIn7s93DmOCXSVNh+cU7hr5otSrdFhzarDY0tJSecz/nYYN&#10;7e1k9V4UX2p9LA4HFYeGjNZPj/3nB4hIfbyLb+4fo2Ga1qcv6QfI+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PwETBAAAA2wAAAA8AAAAAAAAAAAAAAAAAmAIAAGRycy9kb3du&#10;cmV2LnhtbFBLBQYAAAAABAAEAPUAAACGAwAAAAA=&#10;" filled="f" stroked="f" strokecolor="white" strokeweight="1pt">
              <v:fill opacity="52428f"/>
              <v:textbox inset="28.8pt,14.4pt,14.4pt,14.4pt">
                <w:txbxContent>
                  <w:p w:rsidR="001F7A55" w:rsidRDefault="001F7A55" w:rsidP="001F7A55">
                    <w:pPr>
                      <w:pStyle w:val="Nincstrkz"/>
                      <w:spacing w:line="360" w:lineRule="auto"/>
                      <w:rPr>
                        <w:b/>
                        <w:color w:val="FFFFFF"/>
                        <w:sz w:val="32"/>
                        <w:szCs w:val="32"/>
                        <w:lang w:val="en-GB"/>
                      </w:rPr>
                    </w:pPr>
                    <w:r>
                      <w:rPr>
                        <w:b/>
                        <w:color w:val="FFFFFF"/>
                        <w:sz w:val="32"/>
                        <w:szCs w:val="32"/>
                        <w:lang w:val="en-GB"/>
                      </w:rPr>
                      <w:t>EXECUTIVE SUMMARY</w:t>
                    </w:r>
                  </w:p>
                  <w:p w:rsidR="001F7A55" w:rsidRPr="008974F9" w:rsidRDefault="001F7A55" w:rsidP="001F7A55">
                    <w:pPr>
                      <w:pStyle w:val="Nincstrkz"/>
                      <w:spacing w:line="360" w:lineRule="auto"/>
                      <w:rPr>
                        <w:b/>
                        <w:color w:val="FFFFFF"/>
                        <w:sz w:val="32"/>
                        <w:szCs w:val="32"/>
                        <w:lang w:val="en-GB"/>
                      </w:rPr>
                    </w:pPr>
                    <w:r w:rsidRPr="008974F9">
                      <w:rPr>
                        <w:b/>
                        <w:color w:val="FFFFFF"/>
                        <w:sz w:val="32"/>
                        <w:szCs w:val="32"/>
                        <w:lang w:val="en-GB"/>
                      </w:rPr>
                      <w:t>SCOPING REPORT OF SEA</w:t>
                    </w:r>
                    <w:r w:rsidR="004641C9">
                      <w:rPr>
                        <w:b/>
                        <w:color w:val="FFFFFF"/>
                        <w:sz w:val="32"/>
                        <w:szCs w:val="32"/>
                        <w:lang w:val="en-GB"/>
                      </w:rPr>
                      <w:t xml:space="preserve"> FINAL DRAFT</w:t>
                    </w:r>
                  </w:p>
                  <w:p w:rsidR="001F7A55" w:rsidRPr="004641C9" w:rsidRDefault="001F7A55" w:rsidP="001F7A55">
                    <w:pPr>
                      <w:pStyle w:val="Nincstrkz"/>
                      <w:spacing w:line="360" w:lineRule="auto"/>
                      <w:rPr>
                        <w:b/>
                        <w:color w:val="FFFFFF"/>
                        <w:sz w:val="32"/>
                        <w:szCs w:val="32"/>
                        <w:lang w:val="en-GB"/>
                      </w:rPr>
                    </w:pPr>
                    <w:r>
                      <w:rPr>
                        <w:b/>
                        <w:color w:val="FFFFFF"/>
                        <w:sz w:val="32"/>
                        <w:szCs w:val="32"/>
                        <w:lang w:val="en-GB"/>
                      </w:rPr>
                      <w:t>1</w:t>
                    </w:r>
                    <w:r w:rsidR="004641C9">
                      <w:rPr>
                        <w:b/>
                        <w:color w:val="FFFFFF"/>
                        <w:sz w:val="32"/>
                        <w:szCs w:val="32"/>
                        <w:lang w:val="en-GB"/>
                      </w:rPr>
                      <w:t>3</w:t>
                    </w:r>
                    <w:r>
                      <w:rPr>
                        <w:b/>
                        <w:color w:val="FFFFFF"/>
                        <w:sz w:val="32"/>
                        <w:szCs w:val="32"/>
                        <w:lang w:val="en-GB"/>
                      </w:rPr>
                      <w:t>/03</w:t>
                    </w:r>
                    <w:r w:rsidRPr="008974F9">
                      <w:rPr>
                        <w:b/>
                        <w:color w:val="FFFFFF"/>
                        <w:sz w:val="32"/>
                        <w:szCs w:val="32"/>
                        <w:lang w:val="en-GB"/>
                      </w:rPr>
                      <w:t>/2015</w:t>
                    </w:r>
                  </w:p>
                </w:txbxContent>
              </v:textbox>
            </v:rect>
            <w10:wrap anchorx="page" anchory="page"/>
          </v:group>
        </w:pict>
      </w:r>
    </w:p>
    <w:p w:rsidR="001F7A55" w:rsidRPr="00584EDA" w:rsidRDefault="001F7A55" w:rsidP="001F7A55">
      <w:pPr>
        <w:rPr>
          <w:lang w:val="en-GB"/>
        </w:rPr>
      </w:pPr>
    </w:p>
    <w:p w:rsidR="001F7A55" w:rsidRPr="00584EDA" w:rsidRDefault="003F643C" w:rsidP="001F7A55">
      <w:pPr>
        <w:rPr>
          <w:lang w:val="en-GB"/>
        </w:rPr>
      </w:pPr>
      <w:r>
        <w:rPr>
          <w:noProof/>
          <w:lang w:eastAsia="hu-HU"/>
        </w:rPr>
        <w:pict>
          <v:rect id="Rectangle 16" o:spid="_x0000_s1039" style="position:absolute;margin-left:230.55pt;margin-top:12.9pt;width:271.5pt;height:358.55pt;z-index:251669504;visibility:visibl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" filled="f" stroked="f" strokecolor="white" strokeweight="1pt">
            <v:fill opacity="52428f"/>
            <v:textbox inset="28.8pt,14.4pt,14.4pt,14.4pt">
              <w:txbxContent>
                <w:p w:rsidR="004641C9" w:rsidRDefault="001F7A55" w:rsidP="001F7A55">
                  <w:pPr>
                    <w:autoSpaceDE w:val="0"/>
                    <w:autoSpaceDN w:val="0"/>
                    <w:adjustRightInd w:val="0"/>
                    <w:spacing w:after="0" w:line="360" w:lineRule="auto"/>
                    <w:rPr>
                      <w:rFonts w:ascii="Calibri" w:hAnsi="Calibri" w:cs="Arial"/>
                      <w:b/>
                      <w:color w:val="FFFFFF"/>
                      <w:sz w:val="44"/>
                      <w:szCs w:val="44"/>
                      <w:lang w:val="en-US"/>
                    </w:rPr>
                  </w:pPr>
                  <w:r w:rsidRPr="008974F9">
                    <w:rPr>
                      <w:rFonts w:ascii="Calibri" w:hAnsi="Calibri"/>
                      <w:b/>
                      <w:bCs/>
                      <w:color w:val="FFFFFF"/>
                      <w:sz w:val="44"/>
                      <w:szCs w:val="44"/>
                      <w:lang w:val="en-US" w:eastAsia="hu-HU"/>
                    </w:rPr>
                    <w:t xml:space="preserve">EX-ANTE EVALUATION and STRATEGIC ENVIRONMENTAL ASSESSMENT for the </w:t>
                  </w:r>
                  <w:r w:rsidRPr="008974F9">
                    <w:rPr>
                      <w:rFonts w:ascii="Calibri" w:hAnsi="Calibri" w:cs="Arial"/>
                      <w:b/>
                      <w:color w:val="FFFFFF"/>
                      <w:sz w:val="44"/>
                      <w:szCs w:val="44"/>
                      <w:lang w:val="en-US"/>
                    </w:rPr>
                    <w:t xml:space="preserve">HUSKROUA ENI CBC </w:t>
                  </w:r>
                  <w:r w:rsidR="004641C9">
                    <w:rPr>
                      <w:rFonts w:ascii="Calibri" w:hAnsi="Calibri" w:cs="Arial"/>
                      <w:b/>
                      <w:color w:val="FFFFFF"/>
                      <w:sz w:val="44"/>
                      <w:szCs w:val="44"/>
                      <w:lang w:val="en-US"/>
                    </w:rPr>
                    <w:t>PROGRAMME</w:t>
                  </w:r>
                </w:p>
                <w:p w:rsidR="001F7A55" w:rsidRPr="008974F9" w:rsidRDefault="001F7A55" w:rsidP="001F7A55">
                  <w:pPr>
                    <w:autoSpaceDE w:val="0"/>
                    <w:autoSpaceDN w:val="0"/>
                    <w:adjustRightInd w:val="0"/>
                    <w:spacing w:after="0" w:line="360" w:lineRule="auto"/>
                    <w:rPr>
                      <w:color w:val="FFFFFF"/>
                    </w:rPr>
                  </w:pPr>
                  <w:r w:rsidRPr="008974F9">
                    <w:rPr>
                      <w:rFonts w:ascii="Calibri" w:hAnsi="Calibri" w:cs="Arial"/>
                      <w:b/>
                      <w:color w:val="FFFFFF"/>
                      <w:sz w:val="44"/>
                      <w:szCs w:val="44"/>
                      <w:lang w:val="en-US"/>
                    </w:rPr>
                    <w:t>2014-2020</w:t>
                  </w:r>
                </w:p>
              </w:txbxContent>
            </v:textbox>
          </v:rect>
        </w:pict>
      </w:r>
    </w:p>
    <w:p w:rsidR="001F7A55" w:rsidRPr="00584EDA" w:rsidRDefault="001F7A55" w:rsidP="001F7A55">
      <w:pPr>
        <w:rPr>
          <w:lang w:val="en-GB"/>
        </w:rPr>
      </w:pPr>
    </w:p>
    <w:p w:rsidR="001F7A55" w:rsidRPr="00584EDA" w:rsidRDefault="001F7A55" w:rsidP="001F7A55">
      <w:pPr>
        <w:rPr>
          <w:lang w:val="en-GB"/>
        </w:rPr>
      </w:pPr>
    </w:p>
    <w:p w:rsidR="001F7A55" w:rsidRPr="00584EDA" w:rsidRDefault="001F7A55" w:rsidP="001F7A55">
      <w:pPr>
        <w:rPr>
          <w:lang w:val="en-GB"/>
        </w:rPr>
      </w:pPr>
      <w:r>
        <w:rPr>
          <w:noProof/>
          <w:lang w:val="en-GB" w:eastAsia="en-GB"/>
        </w:rPr>
        <w:drawing>
          <wp:anchor distT="0" distB="0" distL="114300" distR="114300" simplePos="0" relativeHeight="251662336" behindDoc="0" locked="0" layoutInCell="1" allowOverlap="1">
            <wp:simplePos x="0" y="0"/>
            <wp:positionH relativeFrom="column">
              <wp:posOffset>954405</wp:posOffset>
            </wp:positionH>
            <wp:positionV relativeFrom="paragraph">
              <wp:posOffset>122555</wp:posOffset>
            </wp:positionV>
            <wp:extent cx="1367155" cy="1021080"/>
            <wp:effectExtent l="19050" t="0" r="4445" b="0"/>
            <wp:wrapNone/>
            <wp:docPr id="8"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pic:cNvPicPr>
                      <a:picLocks noChangeAspect="1" noChangeArrowheads="1"/>
                    </pic:cNvPicPr>
                  </pic:nvPicPr>
                  <pic:blipFill>
                    <a:blip r:embed="rId9" cstate="print"/>
                    <a:srcRect/>
                    <a:stretch>
                      <a:fillRect/>
                    </a:stretch>
                  </pic:blipFill>
                  <pic:spPr bwMode="auto">
                    <a:xfrm>
                      <a:off x="0" y="0"/>
                      <a:ext cx="1367155" cy="1021080"/>
                    </a:xfrm>
                    <a:prstGeom prst="rect">
                      <a:avLst/>
                    </a:prstGeom>
                    <a:noFill/>
                  </pic:spPr>
                </pic:pic>
              </a:graphicData>
            </a:graphic>
          </wp:anchor>
        </w:drawing>
      </w:r>
    </w:p>
    <w:p w:rsidR="001F7A55" w:rsidRPr="00584EDA" w:rsidRDefault="003F643C" w:rsidP="001F7A55">
      <w:pPr>
        <w:spacing w:after="160" w:line="259" w:lineRule="auto"/>
        <w:rPr>
          <w:lang w:val="en-GB"/>
        </w:rPr>
      </w:pPr>
      <w:r>
        <w:rPr>
          <w:noProof/>
          <w:lang w:eastAsia="hu-HU"/>
        </w:rPr>
        <w:pict>
          <v:rect id="Téglalap 44" o:spid="_x0000_s1031" style="position:absolute;margin-left:281.45pt;margin-top:224.5pt;width:281.75pt;height:384.5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" o:allowincell="f" fillcolor="#35528b" strokecolor="#f2f2f2" strokeweight="3pt">
            <v:shadow on="t" color="#243f60" opacity=".5" offset="1pt"/>
            <v:textbox inset="14.4pt,,14.4pt">
              <w:txbxContent>
                <w:p w:rsidR="001F7A55" w:rsidRPr="008974F9" w:rsidRDefault="001F7A55" w:rsidP="001F7A55">
                  <w:pPr>
                    <w:pStyle w:val="Nincstrkz"/>
                    <w:jc w:val="right"/>
                    <w:rPr>
                      <w:rFonts w:ascii="Cambria" w:hAnsi="Cambria"/>
                      <w:color w:val="FFFFFF"/>
                      <w:sz w:val="44"/>
                      <w:szCs w:val="44"/>
                      <w:lang w:val="en-GB"/>
                    </w:rPr>
                  </w:pPr>
                </w:p>
              </w:txbxContent>
            </v:textbox>
            <w10:wrap anchorx="page" anchory="page"/>
          </v:rect>
        </w:pict>
      </w:r>
    </w:p>
    <w:p w:rsidR="001F7A55" w:rsidRPr="00584EDA" w:rsidRDefault="001F7A55" w:rsidP="001F7A55">
      <w:pPr>
        <w:spacing w:after="160" w:line="259" w:lineRule="auto"/>
        <w:rPr>
          <w:lang w:val="en-GB"/>
        </w:rPr>
      </w:pPr>
      <w:r>
        <w:rPr>
          <w:noProof/>
          <w:lang w:val="en-GB" w:eastAsia="en-GB"/>
        </w:rPr>
        <w:drawing>
          <wp:anchor distT="0" distB="0" distL="114300" distR="114300" simplePos="0" relativeHeight="251666432" behindDoc="0" locked="0" layoutInCell="1" allowOverlap="1">
            <wp:simplePos x="0" y="0"/>
            <wp:positionH relativeFrom="column">
              <wp:posOffset>-387985</wp:posOffset>
            </wp:positionH>
            <wp:positionV relativeFrom="paragraph">
              <wp:posOffset>145415</wp:posOffset>
            </wp:positionV>
            <wp:extent cx="1239520" cy="831215"/>
            <wp:effectExtent l="19050" t="0" r="0" b="0"/>
            <wp:wrapNone/>
            <wp:docPr id="12"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
                    <pic:cNvPicPr>
                      <a:picLocks noChangeAspect="1" noChangeArrowheads="1"/>
                    </pic:cNvPicPr>
                  </pic:nvPicPr>
                  <pic:blipFill>
                    <a:blip r:embed="rId10" cstate="print"/>
                    <a:srcRect/>
                    <a:stretch>
                      <a:fillRect/>
                    </a:stretch>
                  </pic:blipFill>
                  <pic:spPr bwMode="auto">
                    <a:xfrm>
                      <a:off x="0" y="0"/>
                      <a:ext cx="1239520" cy="831215"/>
                    </a:xfrm>
                    <a:prstGeom prst="rect">
                      <a:avLst/>
                    </a:prstGeom>
                    <a:noFill/>
                  </pic:spPr>
                </pic:pic>
              </a:graphicData>
            </a:graphic>
          </wp:anchor>
        </w:drawing>
      </w:r>
    </w:p>
    <w:p w:rsidR="001F7A55" w:rsidRPr="00584EDA" w:rsidRDefault="001F7A55" w:rsidP="001F7A55">
      <w:pPr>
        <w:spacing w:after="160" w:line="259" w:lineRule="auto"/>
        <w:rPr>
          <w:lang w:val="en-GB"/>
        </w:rPr>
      </w:pPr>
      <w:r>
        <w:rPr>
          <w:noProof/>
          <w:lang w:val="en-GB" w:eastAsia="en-GB"/>
        </w:rPr>
        <w:drawing>
          <wp:anchor distT="0" distB="0" distL="114300" distR="114300" simplePos="0" relativeHeight="251663360" behindDoc="0" locked="0" layoutInCell="1" allowOverlap="1">
            <wp:simplePos x="0" y="0"/>
            <wp:positionH relativeFrom="column">
              <wp:posOffset>951230</wp:posOffset>
            </wp:positionH>
            <wp:positionV relativeFrom="paragraph">
              <wp:posOffset>294640</wp:posOffset>
            </wp:positionV>
            <wp:extent cx="1358265" cy="1068705"/>
            <wp:effectExtent l="19050" t="0" r="0" b="0"/>
            <wp:wrapNone/>
            <wp:docPr id="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1" cstate="print"/>
                    <a:srcRect/>
                    <a:stretch>
                      <a:fillRect/>
                    </a:stretch>
                  </pic:blipFill>
                  <pic:spPr bwMode="auto">
                    <a:xfrm>
                      <a:off x="0" y="0"/>
                      <a:ext cx="1358265" cy="1068705"/>
                    </a:xfrm>
                    <a:prstGeom prst="rect">
                      <a:avLst/>
                    </a:prstGeom>
                    <a:noFill/>
                  </pic:spPr>
                </pic:pic>
              </a:graphicData>
            </a:graphic>
          </wp:anchor>
        </w:drawing>
      </w:r>
    </w:p>
    <w:p w:rsidR="001F7A55" w:rsidRPr="00584EDA" w:rsidRDefault="001F7A55" w:rsidP="001F7A55">
      <w:pPr>
        <w:spacing w:after="160" w:line="259" w:lineRule="auto"/>
        <w:rPr>
          <w:lang w:val="en-GB"/>
        </w:rPr>
      </w:pPr>
    </w:p>
    <w:p w:rsidR="001F7A55" w:rsidRPr="00584EDA" w:rsidRDefault="001F7A55" w:rsidP="001F7A55">
      <w:pPr>
        <w:spacing w:after="160" w:line="259" w:lineRule="auto"/>
        <w:rPr>
          <w:lang w:val="en-GB"/>
        </w:rPr>
      </w:pPr>
      <w:r>
        <w:rPr>
          <w:noProof/>
          <w:lang w:val="en-GB" w:eastAsia="en-GB"/>
        </w:rPr>
        <w:drawing>
          <wp:anchor distT="0" distB="0" distL="114300" distR="114300" simplePos="0" relativeHeight="251667456" behindDoc="0" locked="0" layoutInCell="1" allowOverlap="1">
            <wp:simplePos x="0" y="0"/>
            <wp:positionH relativeFrom="column">
              <wp:posOffset>-387985</wp:posOffset>
            </wp:positionH>
            <wp:positionV relativeFrom="paragraph">
              <wp:posOffset>177165</wp:posOffset>
            </wp:positionV>
            <wp:extent cx="1239520" cy="1745615"/>
            <wp:effectExtent l="19050" t="0" r="0" b="0"/>
            <wp:wrapNone/>
            <wp:docPr id="1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2" cstate="print"/>
                    <a:srcRect/>
                    <a:stretch>
                      <a:fillRect/>
                    </a:stretch>
                  </pic:blipFill>
                  <pic:spPr bwMode="auto">
                    <a:xfrm>
                      <a:off x="0" y="0"/>
                      <a:ext cx="1239520" cy="1745615"/>
                    </a:xfrm>
                    <a:prstGeom prst="rect">
                      <a:avLst/>
                    </a:prstGeom>
                    <a:noFill/>
                  </pic:spPr>
                </pic:pic>
              </a:graphicData>
            </a:graphic>
          </wp:anchor>
        </w:drawing>
      </w:r>
    </w:p>
    <w:p w:rsidR="001F7A55" w:rsidRPr="00584EDA" w:rsidRDefault="001F7A55" w:rsidP="001F7A55">
      <w:pPr>
        <w:spacing w:after="160" w:line="259" w:lineRule="auto"/>
        <w:rPr>
          <w:lang w:val="en-GB"/>
        </w:rPr>
      </w:pPr>
    </w:p>
    <w:p w:rsidR="001F7A55" w:rsidRPr="00584EDA" w:rsidRDefault="001F7A55" w:rsidP="001F7A55">
      <w:pPr>
        <w:spacing w:after="160" w:line="259" w:lineRule="auto"/>
        <w:rPr>
          <w:lang w:val="en-GB"/>
        </w:rPr>
      </w:pPr>
      <w:r>
        <w:rPr>
          <w:noProof/>
          <w:lang w:val="en-GB" w:eastAsia="en-GB"/>
        </w:rPr>
        <w:drawing>
          <wp:anchor distT="0" distB="0" distL="114300" distR="114300" simplePos="0" relativeHeight="251664384" behindDoc="0" locked="0" layoutInCell="1" allowOverlap="1">
            <wp:simplePos x="0" y="0"/>
            <wp:positionH relativeFrom="column">
              <wp:posOffset>954405</wp:posOffset>
            </wp:positionH>
            <wp:positionV relativeFrom="paragraph">
              <wp:posOffset>226060</wp:posOffset>
            </wp:positionV>
            <wp:extent cx="1358265" cy="985520"/>
            <wp:effectExtent l="19050" t="0" r="0" b="0"/>
            <wp:wrapNone/>
            <wp:docPr id="10"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3" cstate="print"/>
                    <a:srcRect/>
                    <a:stretch>
                      <a:fillRect/>
                    </a:stretch>
                  </pic:blipFill>
                  <pic:spPr bwMode="auto">
                    <a:xfrm>
                      <a:off x="0" y="0"/>
                      <a:ext cx="1358265" cy="985520"/>
                    </a:xfrm>
                    <a:prstGeom prst="rect">
                      <a:avLst/>
                    </a:prstGeom>
                    <a:noFill/>
                  </pic:spPr>
                </pic:pic>
              </a:graphicData>
            </a:graphic>
          </wp:anchor>
        </w:drawing>
      </w:r>
    </w:p>
    <w:p w:rsidR="001F7A55" w:rsidRPr="00584EDA" w:rsidRDefault="001F7A55" w:rsidP="001F7A55">
      <w:pPr>
        <w:spacing w:after="160" w:line="259" w:lineRule="auto"/>
        <w:rPr>
          <w:lang w:val="en-GB"/>
        </w:rPr>
      </w:pPr>
    </w:p>
    <w:p w:rsidR="001F7A55" w:rsidRPr="00584EDA" w:rsidRDefault="001F7A55" w:rsidP="001F7A55">
      <w:pPr>
        <w:spacing w:after="160" w:line="259" w:lineRule="auto"/>
        <w:rPr>
          <w:lang w:val="en-GB"/>
        </w:rPr>
      </w:pPr>
    </w:p>
    <w:p w:rsidR="001F7A55" w:rsidRPr="00584EDA" w:rsidRDefault="001F7A55" w:rsidP="001F7A55">
      <w:pPr>
        <w:spacing w:after="160" w:line="259" w:lineRule="auto"/>
        <w:rPr>
          <w:lang w:val="en-GB"/>
        </w:rPr>
      </w:pPr>
    </w:p>
    <w:p w:rsidR="001F7A55" w:rsidRPr="00584EDA" w:rsidRDefault="001F7A55" w:rsidP="001F7A55">
      <w:pPr>
        <w:spacing w:after="160" w:line="259" w:lineRule="auto"/>
        <w:rPr>
          <w:lang w:val="en-GB"/>
        </w:rPr>
      </w:pPr>
      <w:r>
        <w:rPr>
          <w:noProof/>
          <w:lang w:val="en-GB" w:eastAsia="en-GB"/>
        </w:rPr>
        <w:drawing>
          <wp:anchor distT="0" distB="0" distL="114300" distR="114300" simplePos="0" relativeHeight="251668480" behindDoc="0" locked="0" layoutInCell="1" allowOverlap="1">
            <wp:simplePos x="0" y="0"/>
            <wp:positionH relativeFrom="column">
              <wp:posOffset>954405</wp:posOffset>
            </wp:positionH>
            <wp:positionV relativeFrom="paragraph">
              <wp:posOffset>111125</wp:posOffset>
            </wp:positionV>
            <wp:extent cx="1360805" cy="1068705"/>
            <wp:effectExtent l="19050" t="0" r="0" b="0"/>
            <wp:wrapNone/>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srcRect/>
                    <a:stretch>
                      <a:fillRect/>
                    </a:stretch>
                  </pic:blipFill>
                  <pic:spPr bwMode="auto">
                    <a:xfrm>
                      <a:off x="0" y="0"/>
                      <a:ext cx="1360805" cy="1068705"/>
                    </a:xfrm>
                    <a:prstGeom prst="rect">
                      <a:avLst/>
                    </a:prstGeom>
                    <a:noFill/>
                  </pic:spPr>
                </pic:pic>
              </a:graphicData>
            </a:graphic>
          </wp:anchor>
        </w:drawing>
      </w:r>
    </w:p>
    <w:p w:rsidR="001F7A55" w:rsidRPr="00584EDA" w:rsidRDefault="001F7A55" w:rsidP="001F7A55">
      <w:pPr>
        <w:spacing w:after="160" w:line="259" w:lineRule="auto"/>
        <w:rPr>
          <w:lang w:val="en-GB"/>
        </w:rPr>
      </w:pPr>
    </w:p>
    <w:p w:rsidR="001F7A55" w:rsidRPr="00584EDA" w:rsidRDefault="001F7A55" w:rsidP="001F7A55">
      <w:pPr>
        <w:spacing w:after="160" w:line="259" w:lineRule="auto"/>
        <w:rPr>
          <w:lang w:val="en-GB"/>
        </w:rPr>
      </w:pPr>
    </w:p>
    <w:p w:rsidR="001F7A55" w:rsidRPr="00584EDA" w:rsidRDefault="001F7A55" w:rsidP="001F7A55">
      <w:pPr>
        <w:spacing w:after="160" w:line="259" w:lineRule="auto"/>
        <w:rPr>
          <w:lang w:val="en-GB"/>
        </w:rPr>
      </w:pPr>
    </w:p>
    <w:p w:rsidR="001F7A55" w:rsidRPr="00584EDA" w:rsidRDefault="001F7A55" w:rsidP="001F7A55">
      <w:pPr>
        <w:spacing w:after="160" w:line="259" w:lineRule="auto"/>
        <w:rPr>
          <w:lang w:val="en-GB"/>
        </w:rPr>
      </w:pPr>
    </w:p>
    <w:p w:rsidR="001F7A55" w:rsidRPr="00584EDA" w:rsidRDefault="001F7A55" w:rsidP="001F7A55">
      <w:pPr>
        <w:spacing w:after="160" w:line="259" w:lineRule="auto"/>
        <w:rPr>
          <w:lang w:val="en-GB"/>
        </w:rPr>
      </w:pPr>
      <w:r>
        <w:rPr>
          <w:noProof/>
          <w:lang w:val="en-GB" w:eastAsia="en-GB"/>
        </w:rPr>
        <w:drawing>
          <wp:inline distT="0" distB="0" distL="0" distR="0">
            <wp:extent cx="1266825" cy="638175"/>
            <wp:effectExtent l="19050" t="0" r="9525"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1266825" cy="638175"/>
                    </a:xfrm>
                    <a:prstGeom prst="rect">
                      <a:avLst/>
                    </a:prstGeom>
                    <a:noFill/>
                    <a:ln w="9525">
                      <a:noFill/>
                      <a:miter lim="800000"/>
                      <a:headEnd/>
                      <a:tailEnd/>
                    </a:ln>
                  </pic:spPr>
                </pic:pic>
              </a:graphicData>
            </a:graphic>
          </wp:inline>
        </w:drawing>
      </w:r>
      <w:r>
        <w:rPr>
          <w:noProof/>
          <w:lang w:val="en-GB" w:eastAsia="en-GB"/>
        </w:rPr>
        <w:drawing>
          <wp:inline distT="0" distB="0" distL="0" distR="0">
            <wp:extent cx="1114425" cy="657225"/>
            <wp:effectExtent l="19050" t="0" r="9525" b="0"/>
            <wp:docPr id="2" name="Kép 2" descr="HBHE_logo_medium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HBHE_logo_medium_600"/>
                    <pic:cNvPicPr>
                      <a:picLocks noChangeAspect="1" noChangeArrowheads="1"/>
                    </pic:cNvPicPr>
                  </pic:nvPicPr>
                  <pic:blipFill>
                    <a:blip r:embed="rId16" cstate="print"/>
                    <a:srcRect/>
                    <a:stretch>
                      <a:fillRect/>
                    </a:stretch>
                  </pic:blipFill>
                  <pic:spPr bwMode="auto">
                    <a:xfrm>
                      <a:off x="0" y="0"/>
                      <a:ext cx="1114425" cy="657225"/>
                    </a:xfrm>
                    <a:prstGeom prst="rect">
                      <a:avLst/>
                    </a:prstGeom>
                    <a:noFill/>
                    <a:ln w="9525">
                      <a:noFill/>
                      <a:miter lim="800000"/>
                      <a:headEnd/>
                      <a:tailEnd/>
                    </a:ln>
                  </pic:spPr>
                </pic:pic>
              </a:graphicData>
            </a:graphic>
          </wp:inline>
        </w:drawing>
      </w:r>
    </w:p>
    <w:p w:rsidR="00447BA2" w:rsidRDefault="00447BA2"/>
    <w:p w:rsidR="003F643C" w:rsidRDefault="003F643C"/>
    <w:tbl>
      <w:tblPr>
        <w:tblW w:w="9778" w:type="dxa"/>
        <w:tblBorders>
          <w:insideV w:val="single" w:sz="4" w:space="0" w:color="auto"/>
        </w:tblBorders>
        <w:tblLook w:val="00A0" w:firstRow="1" w:lastRow="0" w:firstColumn="1" w:lastColumn="0" w:noHBand="0" w:noVBand="0"/>
      </w:tblPr>
      <w:tblGrid>
        <w:gridCol w:w="3510"/>
        <w:gridCol w:w="6268"/>
      </w:tblGrid>
      <w:tr w:rsidR="003F643C" w:rsidRPr="0008594F" w:rsidTr="0015172F">
        <w:tc>
          <w:tcPr>
            <w:tcW w:w="3510" w:type="dxa"/>
            <w:vMerge w:val="restart"/>
            <w:vAlign w:val="center"/>
          </w:tcPr>
          <w:p w:rsidR="003F643C" w:rsidRPr="0008594F" w:rsidRDefault="003F643C" w:rsidP="0015172F">
            <w:pPr>
              <w:pStyle w:val="cgadatok"/>
              <w:tabs>
                <w:tab w:val="left" w:pos="3119"/>
              </w:tabs>
              <w:spacing w:line="276" w:lineRule="auto"/>
              <w:ind w:right="175"/>
              <w:jc w:val="right"/>
              <w:rPr>
                <w:lang w:val="en-US"/>
              </w:rPr>
            </w:pPr>
            <w:r>
              <w:rPr>
                <w:noProof/>
                <w:lang w:eastAsia="en-GB"/>
              </w:rPr>
              <w:lastRenderedPageBreak/>
              <w:drawing>
                <wp:inline distT="0" distB="0" distL="0" distR="0">
                  <wp:extent cx="1828800" cy="1095375"/>
                  <wp:effectExtent l="0" t="0" r="0" b="0"/>
                  <wp:docPr id="5" name="Kép 5" descr="HBHE_logo_medium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8" descr="HBHE_logo_medium_60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tc>
        <w:tc>
          <w:tcPr>
            <w:tcW w:w="6268" w:type="dxa"/>
            <w:vAlign w:val="center"/>
          </w:tcPr>
          <w:p w:rsidR="003F643C" w:rsidRPr="0008594F" w:rsidRDefault="003F643C" w:rsidP="0015172F">
            <w:pPr>
              <w:pStyle w:val="cgadatok"/>
              <w:spacing w:line="276" w:lineRule="auto"/>
              <w:jc w:val="left"/>
              <w:rPr>
                <w:lang w:val="en-US"/>
              </w:rPr>
            </w:pPr>
            <w:r w:rsidRPr="0008594F">
              <w:rPr>
                <w:b/>
                <w:lang w:val="en-US"/>
              </w:rPr>
              <w:t xml:space="preserve">Name: </w:t>
            </w:r>
            <w:proofErr w:type="spellStart"/>
            <w:r w:rsidRPr="0008594F">
              <w:rPr>
                <w:lang w:val="en-US"/>
              </w:rPr>
              <w:t>HitesyBartuczHollaiEurocomsulting</w:t>
            </w:r>
            <w:proofErr w:type="spellEnd"/>
            <w:r w:rsidRPr="0008594F">
              <w:rPr>
                <w:lang w:val="en-US"/>
              </w:rPr>
              <w:t xml:space="preserve"> Kft.</w:t>
            </w:r>
          </w:p>
        </w:tc>
      </w:tr>
      <w:tr w:rsidR="003F643C" w:rsidRPr="0008594F" w:rsidTr="0015172F">
        <w:tc>
          <w:tcPr>
            <w:tcW w:w="3510" w:type="dxa"/>
            <w:vMerge/>
            <w:vAlign w:val="center"/>
          </w:tcPr>
          <w:p w:rsidR="003F643C" w:rsidRPr="0008594F" w:rsidRDefault="003F643C" w:rsidP="0015172F">
            <w:pPr>
              <w:pStyle w:val="cgadatok"/>
              <w:tabs>
                <w:tab w:val="left" w:pos="3119"/>
              </w:tabs>
              <w:spacing w:line="276" w:lineRule="auto"/>
              <w:ind w:right="175"/>
              <w:jc w:val="right"/>
              <w:rPr>
                <w:lang w:val="en-US"/>
              </w:rPr>
            </w:pPr>
          </w:p>
        </w:tc>
        <w:tc>
          <w:tcPr>
            <w:tcW w:w="6268" w:type="dxa"/>
            <w:vAlign w:val="center"/>
          </w:tcPr>
          <w:p w:rsidR="003F643C" w:rsidRPr="0008594F" w:rsidRDefault="003F643C" w:rsidP="0015172F">
            <w:pPr>
              <w:pStyle w:val="cgadatok"/>
              <w:spacing w:line="276" w:lineRule="auto"/>
              <w:jc w:val="left"/>
              <w:rPr>
                <w:lang w:val="en-US"/>
              </w:rPr>
            </w:pPr>
            <w:r w:rsidRPr="0008594F">
              <w:rPr>
                <w:b/>
                <w:lang w:val="en-US"/>
              </w:rPr>
              <w:t>Address:</w:t>
            </w:r>
            <w:r w:rsidRPr="0008594F">
              <w:rPr>
                <w:lang w:val="en-US"/>
              </w:rPr>
              <w:t xml:space="preserve"> H-1054 </w:t>
            </w:r>
            <w:smartTag w:uri="urn:schemas-microsoft-com:office:smarttags" w:element="City">
              <w:smartTag w:uri="urn:schemas-microsoft-com:office:smarttags" w:element="place">
                <w:r w:rsidRPr="0008594F">
                  <w:rPr>
                    <w:lang w:val="en-US"/>
                  </w:rPr>
                  <w:t>Budapest</w:t>
                </w:r>
              </w:smartTag>
            </w:smartTag>
            <w:r w:rsidRPr="0008594F">
              <w:rPr>
                <w:lang w:val="en-US"/>
              </w:rPr>
              <w:t xml:space="preserve">, </w:t>
            </w:r>
            <w:proofErr w:type="spellStart"/>
            <w:r w:rsidRPr="0008594F">
              <w:rPr>
                <w:lang w:val="en-US"/>
              </w:rPr>
              <w:t>Vértanúktere</w:t>
            </w:r>
            <w:proofErr w:type="spellEnd"/>
            <w:r w:rsidRPr="0008594F">
              <w:rPr>
                <w:lang w:val="en-US"/>
              </w:rPr>
              <w:t xml:space="preserve"> 1.</w:t>
            </w:r>
          </w:p>
        </w:tc>
      </w:tr>
      <w:tr w:rsidR="003F643C" w:rsidRPr="0008594F" w:rsidTr="0015172F">
        <w:tc>
          <w:tcPr>
            <w:tcW w:w="3510" w:type="dxa"/>
            <w:vMerge/>
            <w:vAlign w:val="center"/>
          </w:tcPr>
          <w:p w:rsidR="003F643C" w:rsidRPr="0008594F" w:rsidRDefault="003F643C" w:rsidP="0015172F">
            <w:pPr>
              <w:pStyle w:val="cgadatok"/>
              <w:tabs>
                <w:tab w:val="left" w:pos="3119"/>
              </w:tabs>
              <w:spacing w:line="276" w:lineRule="auto"/>
              <w:ind w:right="175"/>
              <w:jc w:val="right"/>
              <w:rPr>
                <w:lang w:val="en-US"/>
              </w:rPr>
            </w:pPr>
          </w:p>
        </w:tc>
        <w:tc>
          <w:tcPr>
            <w:tcW w:w="6268" w:type="dxa"/>
            <w:vAlign w:val="center"/>
          </w:tcPr>
          <w:p w:rsidR="003F643C" w:rsidRPr="0008594F" w:rsidRDefault="003F643C" w:rsidP="0015172F">
            <w:pPr>
              <w:pStyle w:val="cgadatok"/>
              <w:spacing w:line="276" w:lineRule="auto"/>
              <w:jc w:val="left"/>
              <w:rPr>
                <w:lang w:val="en-US"/>
              </w:rPr>
            </w:pPr>
            <w:r w:rsidRPr="0008594F">
              <w:rPr>
                <w:b/>
                <w:lang w:val="en-US"/>
              </w:rPr>
              <w:t>Tel:</w:t>
            </w:r>
            <w:r w:rsidRPr="0008594F">
              <w:rPr>
                <w:lang w:val="en-US"/>
              </w:rPr>
              <w:t xml:space="preserve"> +36-1-319-1790</w:t>
            </w:r>
          </w:p>
        </w:tc>
      </w:tr>
      <w:tr w:rsidR="003F643C" w:rsidRPr="0008594F" w:rsidTr="0015172F">
        <w:tc>
          <w:tcPr>
            <w:tcW w:w="3510" w:type="dxa"/>
            <w:vMerge/>
            <w:vAlign w:val="center"/>
          </w:tcPr>
          <w:p w:rsidR="003F643C" w:rsidRPr="0008594F" w:rsidRDefault="003F643C" w:rsidP="0015172F">
            <w:pPr>
              <w:pStyle w:val="cgadatok"/>
              <w:tabs>
                <w:tab w:val="left" w:pos="3119"/>
              </w:tabs>
              <w:spacing w:line="276" w:lineRule="auto"/>
              <w:ind w:right="175"/>
              <w:jc w:val="right"/>
              <w:rPr>
                <w:lang w:val="en-US"/>
              </w:rPr>
            </w:pPr>
          </w:p>
        </w:tc>
        <w:tc>
          <w:tcPr>
            <w:tcW w:w="6268" w:type="dxa"/>
            <w:vAlign w:val="center"/>
          </w:tcPr>
          <w:p w:rsidR="003F643C" w:rsidRPr="0008594F" w:rsidRDefault="003F643C" w:rsidP="0015172F">
            <w:pPr>
              <w:pStyle w:val="cgadatok"/>
              <w:spacing w:line="276" w:lineRule="auto"/>
              <w:jc w:val="left"/>
              <w:rPr>
                <w:lang w:val="en-US"/>
              </w:rPr>
            </w:pPr>
            <w:r w:rsidRPr="0008594F">
              <w:rPr>
                <w:b/>
                <w:lang w:val="en-US"/>
              </w:rPr>
              <w:t>Fax:</w:t>
            </w:r>
            <w:r w:rsidRPr="0008594F">
              <w:rPr>
                <w:lang w:val="en-US"/>
              </w:rPr>
              <w:t xml:space="preserve"> +36-1-319-1381</w:t>
            </w:r>
          </w:p>
        </w:tc>
      </w:tr>
      <w:tr w:rsidR="003F643C" w:rsidRPr="0008594F" w:rsidTr="0015172F">
        <w:tc>
          <w:tcPr>
            <w:tcW w:w="3510" w:type="dxa"/>
            <w:vMerge/>
            <w:vAlign w:val="center"/>
          </w:tcPr>
          <w:p w:rsidR="003F643C" w:rsidRPr="0008594F" w:rsidRDefault="003F643C" w:rsidP="0015172F">
            <w:pPr>
              <w:pStyle w:val="cgadatok"/>
              <w:tabs>
                <w:tab w:val="left" w:pos="3119"/>
              </w:tabs>
              <w:spacing w:line="276" w:lineRule="auto"/>
              <w:ind w:right="175"/>
              <w:jc w:val="right"/>
              <w:rPr>
                <w:lang w:val="en-US"/>
              </w:rPr>
            </w:pPr>
          </w:p>
        </w:tc>
        <w:tc>
          <w:tcPr>
            <w:tcW w:w="6268" w:type="dxa"/>
            <w:vAlign w:val="center"/>
          </w:tcPr>
          <w:p w:rsidR="003F643C" w:rsidRPr="00ED5E46" w:rsidRDefault="003F643C" w:rsidP="0015172F">
            <w:pPr>
              <w:pStyle w:val="cgadatok"/>
              <w:spacing w:line="276" w:lineRule="auto"/>
              <w:jc w:val="left"/>
              <w:rPr>
                <w:lang w:val="de-DE"/>
              </w:rPr>
            </w:pPr>
            <w:r w:rsidRPr="00ED5E46">
              <w:rPr>
                <w:b/>
                <w:lang w:val="de-DE"/>
              </w:rPr>
              <w:t>E-mail:</w:t>
            </w:r>
            <w:r w:rsidRPr="00ED5E46">
              <w:rPr>
                <w:lang w:val="de-DE"/>
              </w:rPr>
              <w:t xml:space="preserve"> info@hbhe.hu</w:t>
            </w:r>
          </w:p>
        </w:tc>
      </w:tr>
      <w:tr w:rsidR="003F643C" w:rsidRPr="0008594F" w:rsidTr="0015172F">
        <w:tc>
          <w:tcPr>
            <w:tcW w:w="3510" w:type="dxa"/>
            <w:vMerge/>
            <w:vAlign w:val="center"/>
          </w:tcPr>
          <w:p w:rsidR="003F643C" w:rsidRPr="00ED5E46" w:rsidRDefault="003F643C" w:rsidP="0015172F">
            <w:pPr>
              <w:pStyle w:val="cgadatok"/>
              <w:tabs>
                <w:tab w:val="left" w:pos="3119"/>
              </w:tabs>
              <w:spacing w:line="276" w:lineRule="auto"/>
              <w:ind w:right="175"/>
              <w:jc w:val="right"/>
              <w:rPr>
                <w:lang w:val="de-DE"/>
              </w:rPr>
            </w:pPr>
          </w:p>
        </w:tc>
        <w:tc>
          <w:tcPr>
            <w:tcW w:w="6268" w:type="dxa"/>
            <w:vAlign w:val="center"/>
          </w:tcPr>
          <w:p w:rsidR="003F643C" w:rsidRPr="0008594F" w:rsidRDefault="003F643C" w:rsidP="0015172F">
            <w:pPr>
              <w:pStyle w:val="cgadatok"/>
              <w:spacing w:line="276" w:lineRule="auto"/>
              <w:jc w:val="left"/>
              <w:rPr>
                <w:lang w:val="en-US"/>
              </w:rPr>
            </w:pPr>
            <w:r w:rsidRPr="0008594F">
              <w:rPr>
                <w:b/>
                <w:lang w:val="en-US"/>
              </w:rPr>
              <w:t>Website:</w:t>
            </w:r>
            <w:r w:rsidRPr="0008594F">
              <w:rPr>
                <w:lang w:val="en-US"/>
              </w:rPr>
              <w:t xml:space="preserve"> www.hbhe.eu</w:t>
            </w:r>
          </w:p>
        </w:tc>
      </w:tr>
    </w:tbl>
    <w:p w:rsidR="003F643C" w:rsidRPr="0008594F" w:rsidRDefault="003F643C" w:rsidP="003F643C">
      <w:pPr>
        <w:pStyle w:val="cgadatok"/>
        <w:spacing w:line="276" w:lineRule="auto"/>
        <w:rPr>
          <w:lang w:val="en-US"/>
        </w:rPr>
      </w:pPr>
    </w:p>
    <w:tbl>
      <w:tblPr>
        <w:tblW w:w="0" w:type="auto"/>
        <w:tblBorders>
          <w:insideV w:val="single" w:sz="4" w:space="0" w:color="auto"/>
        </w:tblBorders>
        <w:tblLook w:val="00A0" w:firstRow="1" w:lastRow="0" w:firstColumn="1" w:lastColumn="0" w:noHBand="0" w:noVBand="0"/>
      </w:tblPr>
      <w:tblGrid>
        <w:gridCol w:w="3510"/>
        <w:gridCol w:w="6268"/>
      </w:tblGrid>
      <w:tr w:rsidR="003F643C" w:rsidRPr="0008594F" w:rsidTr="0015172F">
        <w:tc>
          <w:tcPr>
            <w:tcW w:w="3510" w:type="dxa"/>
            <w:vMerge w:val="restart"/>
            <w:vAlign w:val="center"/>
          </w:tcPr>
          <w:p w:rsidR="003F643C" w:rsidRPr="0008594F" w:rsidRDefault="003F643C" w:rsidP="0015172F">
            <w:pPr>
              <w:pStyle w:val="cgadatok"/>
              <w:spacing w:line="276" w:lineRule="auto"/>
              <w:ind w:right="175"/>
              <w:jc w:val="right"/>
              <w:rPr>
                <w:lang w:val="en-US"/>
              </w:rPr>
            </w:pPr>
            <w:r>
              <w:rPr>
                <w:noProof/>
                <w:lang w:eastAsia="en-GB"/>
              </w:rPr>
              <w:drawing>
                <wp:inline distT="0" distB="0" distL="0" distR="0">
                  <wp:extent cx="1866900" cy="9525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66900" cy="952500"/>
                          </a:xfrm>
                          <a:prstGeom prst="rect">
                            <a:avLst/>
                          </a:prstGeom>
                          <a:noFill/>
                          <a:ln>
                            <a:noFill/>
                          </a:ln>
                        </pic:spPr>
                      </pic:pic>
                    </a:graphicData>
                  </a:graphic>
                </wp:inline>
              </w:drawing>
            </w:r>
          </w:p>
        </w:tc>
        <w:tc>
          <w:tcPr>
            <w:tcW w:w="6268" w:type="dxa"/>
            <w:vAlign w:val="center"/>
          </w:tcPr>
          <w:p w:rsidR="003F643C" w:rsidRPr="0008594F" w:rsidRDefault="003F643C" w:rsidP="0015172F">
            <w:pPr>
              <w:pStyle w:val="cgadatok"/>
              <w:spacing w:line="276" w:lineRule="auto"/>
              <w:jc w:val="left"/>
              <w:rPr>
                <w:lang w:val="en-US"/>
              </w:rPr>
            </w:pPr>
            <w:r w:rsidRPr="0008594F">
              <w:rPr>
                <w:b/>
                <w:lang w:val="en-US"/>
              </w:rPr>
              <w:t xml:space="preserve">Name: </w:t>
            </w:r>
            <w:proofErr w:type="spellStart"/>
            <w:r w:rsidRPr="0008594F">
              <w:rPr>
                <w:lang w:val="en-US"/>
              </w:rPr>
              <w:t>Hydea</w:t>
            </w:r>
            <w:proofErr w:type="spellEnd"/>
            <w:r w:rsidRPr="0008594F">
              <w:rPr>
                <w:lang w:val="en-US"/>
              </w:rPr>
              <w:t xml:space="preserve"> Kft.</w:t>
            </w:r>
          </w:p>
        </w:tc>
      </w:tr>
      <w:tr w:rsidR="003F643C" w:rsidRPr="0008594F" w:rsidTr="0015172F">
        <w:tc>
          <w:tcPr>
            <w:tcW w:w="3510" w:type="dxa"/>
            <w:vMerge/>
            <w:vAlign w:val="center"/>
          </w:tcPr>
          <w:p w:rsidR="003F643C" w:rsidRPr="0008594F" w:rsidRDefault="003F643C" w:rsidP="0015172F">
            <w:pPr>
              <w:pStyle w:val="cgadatok"/>
              <w:spacing w:line="276" w:lineRule="auto"/>
              <w:ind w:right="175"/>
              <w:jc w:val="right"/>
              <w:rPr>
                <w:lang w:val="en-US"/>
              </w:rPr>
            </w:pPr>
          </w:p>
        </w:tc>
        <w:tc>
          <w:tcPr>
            <w:tcW w:w="6268" w:type="dxa"/>
            <w:vAlign w:val="center"/>
          </w:tcPr>
          <w:p w:rsidR="003F643C" w:rsidRPr="0008594F" w:rsidRDefault="003F643C" w:rsidP="0015172F">
            <w:pPr>
              <w:pStyle w:val="cgadatok"/>
              <w:spacing w:line="276" w:lineRule="auto"/>
              <w:jc w:val="left"/>
              <w:rPr>
                <w:lang w:val="en-US"/>
              </w:rPr>
            </w:pPr>
            <w:r w:rsidRPr="0008594F">
              <w:rPr>
                <w:b/>
                <w:lang w:val="en-US"/>
              </w:rPr>
              <w:t>Address:</w:t>
            </w:r>
            <w:r w:rsidRPr="0008594F">
              <w:rPr>
                <w:lang w:val="en-US"/>
              </w:rPr>
              <w:t xml:space="preserve"> H-1062 </w:t>
            </w:r>
            <w:smartTag w:uri="urn:schemas-microsoft-com:office:smarttags" w:element="City">
              <w:smartTag w:uri="urn:schemas-microsoft-com:office:smarttags" w:element="place">
                <w:r w:rsidRPr="0008594F">
                  <w:rPr>
                    <w:lang w:val="en-US"/>
                  </w:rPr>
                  <w:t>Budapest</w:t>
                </w:r>
              </w:smartTag>
            </w:smartTag>
            <w:r w:rsidRPr="0008594F">
              <w:rPr>
                <w:lang w:val="en-US"/>
              </w:rPr>
              <w:t xml:space="preserve">, </w:t>
            </w:r>
            <w:proofErr w:type="spellStart"/>
            <w:r w:rsidRPr="0008594F">
              <w:rPr>
                <w:lang w:val="en-US"/>
              </w:rPr>
              <w:t>Andrássyút</w:t>
            </w:r>
            <w:proofErr w:type="spellEnd"/>
            <w:r w:rsidRPr="0008594F">
              <w:rPr>
                <w:lang w:val="en-US"/>
              </w:rPr>
              <w:t xml:space="preserve"> 128. I/6.</w:t>
            </w:r>
          </w:p>
        </w:tc>
      </w:tr>
      <w:tr w:rsidR="003F643C" w:rsidRPr="0008594F" w:rsidTr="0015172F">
        <w:tc>
          <w:tcPr>
            <w:tcW w:w="3510" w:type="dxa"/>
            <w:vMerge/>
            <w:vAlign w:val="center"/>
          </w:tcPr>
          <w:p w:rsidR="003F643C" w:rsidRPr="0008594F" w:rsidRDefault="003F643C" w:rsidP="0015172F">
            <w:pPr>
              <w:pStyle w:val="cgadatok"/>
              <w:spacing w:line="276" w:lineRule="auto"/>
              <w:ind w:right="175"/>
              <w:jc w:val="right"/>
              <w:rPr>
                <w:lang w:val="en-US"/>
              </w:rPr>
            </w:pPr>
          </w:p>
        </w:tc>
        <w:tc>
          <w:tcPr>
            <w:tcW w:w="6268" w:type="dxa"/>
            <w:vAlign w:val="center"/>
          </w:tcPr>
          <w:p w:rsidR="003F643C" w:rsidRPr="0008594F" w:rsidRDefault="003F643C" w:rsidP="0015172F">
            <w:pPr>
              <w:pStyle w:val="cgadatok"/>
              <w:spacing w:line="276" w:lineRule="auto"/>
              <w:jc w:val="left"/>
              <w:rPr>
                <w:lang w:val="en-US"/>
              </w:rPr>
            </w:pPr>
            <w:r w:rsidRPr="0008594F">
              <w:rPr>
                <w:b/>
                <w:lang w:val="en-US"/>
              </w:rPr>
              <w:t>Tel:</w:t>
            </w:r>
            <w:r w:rsidRPr="0008594F">
              <w:rPr>
                <w:lang w:val="en-US"/>
              </w:rPr>
              <w:t xml:space="preserve"> +36-1-354-2440</w:t>
            </w:r>
          </w:p>
        </w:tc>
      </w:tr>
      <w:tr w:rsidR="003F643C" w:rsidRPr="0008594F" w:rsidTr="0015172F">
        <w:tc>
          <w:tcPr>
            <w:tcW w:w="3510" w:type="dxa"/>
            <w:vMerge/>
            <w:vAlign w:val="center"/>
          </w:tcPr>
          <w:p w:rsidR="003F643C" w:rsidRPr="0008594F" w:rsidRDefault="003F643C" w:rsidP="0015172F">
            <w:pPr>
              <w:pStyle w:val="cgadatok"/>
              <w:spacing w:line="276" w:lineRule="auto"/>
              <w:ind w:right="175"/>
              <w:jc w:val="right"/>
              <w:rPr>
                <w:lang w:val="en-US"/>
              </w:rPr>
            </w:pPr>
          </w:p>
        </w:tc>
        <w:tc>
          <w:tcPr>
            <w:tcW w:w="6268" w:type="dxa"/>
            <w:vAlign w:val="center"/>
          </w:tcPr>
          <w:p w:rsidR="003F643C" w:rsidRPr="0008594F" w:rsidRDefault="003F643C" w:rsidP="0015172F">
            <w:pPr>
              <w:pStyle w:val="cgadatok"/>
              <w:spacing w:line="276" w:lineRule="auto"/>
              <w:jc w:val="left"/>
              <w:rPr>
                <w:lang w:val="en-US"/>
              </w:rPr>
            </w:pPr>
            <w:r w:rsidRPr="0008594F">
              <w:rPr>
                <w:b/>
                <w:lang w:val="en-US"/>
              </w:rPr>
              <w:t>Fax:</w:t>
            </w:r>
            <w:r w:rsidRPr="0008594F">
              <w:rPr>
                <w:lang w:val="en-US"/>
              </w:rPr>
              <w:t xml:space="preserve"> +36-1-354-2449</w:t>
            </w:r>
          </w:p>
        </w:tc>
      </w:tr>
      <w:tr w:rsidR="003F643C" w:rsidRPr="0008594F" w:rsidTr="0015172F">
        <w:tc>
          <w:tcPr>
            <w:tcW w:w="3510" w:type="dxa"/>
            <w:vMerge/>
            <w:vAlign w:val="center"/>
          </w:tcPr>
          <w:p w:rsidR="003F643C" w:rsidRPr="0008594F" w:rsidRDefault="003F643C" w:rsidP="0015172F">
            <w:pPr>
              <w:pStyle w:val="cgadatok"/>
              <w:spacing w:line="276" w:lineRule="auto"/>
              <w:ind w:right="175"/>
              <w:jc w:val="right"/>
              <w:rPr>
                <w:lang w:val="en-US"/>
              </w:rPr>
            </w:pPr>
          </w:p>
        </w:tc>
        <w:tc>
          <w:tcPr>
            <w:tcW w:w="6268" w:type="dxa"/>
            <w:vAlign w:val="center"/>
          </w:tcPr>
          <w:p w:rsidR="003F643C" w:rsidRPr="00ED5E46" w:rsidRDefault="003F643C" w:rsidP="0015172F">
            <w:pPr>
              <w:pStyle w:val="cgadatok"/>
              <w:spacing w:line="276" w:lineRule="auto"/>
              <w:jc w:val="left"/>
              <w:rPr>
                <w:lang w:val="de-DE"/>
              </w:rPr>
            </w:pPr>
            <w:r w:rsidRPr="00ED5E46">
              <w:rPr>
                <w:b/>
                <w:lang w:val="de-DE"/>
              </w:rPr>
              <w:t>E-mail:</w:t>
            </w:r>
            <w:r w:rsidRPr="00ED5E46">
              <w:rPr>
                <w:lang w:val="de-DE"/>
              </w:rPr>
              <w:t xml:space="preserve"> info@hydea.hu</w:t>
            </w:r>
          </w:p>
        </w:tc>
      </w:tr>
      <w:tr w:rsidR="003F643C" w:rsidRPr="0008594F" w:rsidTr="0015172F">
        <w:tc>
          <w:tcPr>
            <w:tcW w:w="3510" w:type="dxa"/>
            <w:vMerge/>
            <w:vAlign w:val="center"/>
          </w:tcPr>
          <w:p w:rsidR="003F643C" w:rsidRPr="00ED5E46" w:rsidRDefault="003F643C" w:rsidP="0015172F">
            <w:pPr>
              <w:pStyle w:val="cgadatok"/>
              <w:spacing w:line="276" w:lineRule="auto"/>
              <w:ind w:right="175"/>
              <w:jc w:val="right"/>
              <w:rPr>
                <w:lang w:val="de-DE"/>
              </w:rPr>
            </w:pPr>
          </w:p>
        </w:tc>
        <w:tc>
          <w:tcPr>
            <w:tcW w:w="6268" w:type="dxa"/>
            <w:vAlign w:val="center"/>
          </w:tcPr>
          <w:p w:rsidR="003F643C" w:rsidRPr="0008594F" w:rsidRDefault="003F643C" w:rsidP="0015172F">
            <w:pPr>
              <w:pStyle w:val="cgadatok"/>
              <w:spacing w:line="276" w:lineRule="auto"/>
              <w:jc w:val="left"/>
              <w:rPr>
                <w:lang w:val="en-US"/>
              </w:rPr>
            </w:pPr>
            <w:r w:rsidRPr="0008594F">
              <w:rPr>
                <w:b/>
                <w:lang w:val="en-US"/>
              </w:rPr>
              <w:t>Website:</w:t>
            </w:r>
            <w:r w:rsidRPr="0008594F">
              <w:rPr>
                <w:lang w:val="en-US"/>
              </w:rPr>
              <w:t xml:space="preserve"> www.hydea.hu</w:t>
            </w:r>
          </w:p>
        </w:tc>
      </w:tr>
    </w:tbl>
    <w:p w:rsidR="003F643C" w:rsidRPr="0008594F" w:rsidRDefault="003F643C" w:rsidP="003F643C">
      <w:pPr>
        <w:pStyle w:val="cgadatok"/>
        <w:spacing w:line="276" w:lineRule="auto"/>
        <w:rPr>
          <w:lang w:val="en-US"/>
        </w:rPr>
      </w:pPr>
    </w:p>
    <w:p w:rsidR="003F643C" w:rsidRDefault="003F643C">
      <w:bookmarkStart w:id="0" w:name="_GoBack"/>
      <w:bookmarkEnd w:id="0"/>
    </w:p>
    <w:p w:rsidR="001F7A55" w:rsidRPr="0008594F" w:rsidRDefault="001F7A55" w:rsidP="001F7A55">
      <w:pPr>
        <w:rPr>
          <w:lang w:val="en-US"/>
        </w:rPr>
        <w:sectPr w:rsidR="001F7A55" w:rsidRPr="0008594F" w:rsidSect="00313F4E">
          <w:headerReference w:type="default" r:id="rId19"/>
          <w:footerReference w:type="default" r:id="rId20"/>
          <w:headerReference w:type="first" r:id="rId21"/>
          <w:endnotePr>
            <w:numFmt w:val="decimal"/>
          </w:endnotePr>
          <w:pgSz w:w="11906" w:h="16838" w:code="9"/>
          <w:pgMar w:top="3544" w:right="1134" w:bottom="1701" w:left="1134" w:header="850" w:footer="709" w:gutter="0"/>
          <w:cols w:space="708"/>
          <w:titlePg/>
          <w:docGrid w:linePitch="360"/>
        </w:sectPr>
      </w:pPr>
    </w:p>
    <w:p w:rsidR="00E34DB5" w:rsidRDefault="004B4E9D" w:rsidP="00E34DB5">
      <w:pPr>
        <w:spacing w:before="120" w:after="120" w:line="300" w:lineRule="auto"/>
        <w:jc w:val="center"/>
        <w:rPr>
          <w:rStyle w:val="apple-style-span"/>
          <w:b/>
          <w:color w:val="365F91" w:themeColor="accent1" w:themeShade="BF"/>
          <w:sz w:val="28"/>
          <w:szCs w:val="28"/>
          <w:lang w:val="en-US"/>
        </w:rPr>
      </w:pPr>
      <w:r>
        <w:rPr>
          <w:rStyle w:val="apple-style-span"/>
          <w:b/>
          <w:color w:val="365F91" w:themeColor="accent1" w:themeShade="BF"/>
          <w:sz w:val="28"/>
          <w:szCs w:val="28"/>
          <w:lang w:val="en-US"/>
        </w:rPr>
        <w:lastRenderedPageBreak/>
        <w:t>NOTIFICATION</w:t>
      </w:r>
    </w:p>
    <w:p w:rsidR="001F7A55" w:rsidRPr="001F7A55" w:rsidRDefault="00E34DB5" w:rsidP="00E34DB5">
      <w:pPr>
        <w:spacing w:before="120" w:after="120" w:line="300" w:lineRule="auto"/>
        <w:jc w:val="center"/>
        <w:rPr>
          <w:rStyle w:val="apple-style-span"/>
          <w:b/>
          <w:color w:val="365F91" w:themeColor="accent1" w:themeShade="BF"/>
          <w:sz w:val="28"/>
          <w:szCs w:val="28"/>
          <w:lang w:val="en-US"/>
        </w:rPr>
      </w:pPr>
      <w:proofErr w:type="gramStart"/>
      <w:r>
        <w:rPr>
          <w:rStyle w:val="apple-style-span"/>
          <w:b/>
          <w:color w:val="365F91" w:themeColor="accent1" w:themeShade="BF"/>
          <w:sz w:val="28"/>
          <w:szCs w:val="28"/>
          <w:lang w:val="en-US"/>
        </w:rPr>
        <w:t>on</w:t>
      </w:r>
      <w:proofErr w:type="gramEnd"/>
      <w:r>
        <w:rPr>
          <w:rStyle w:val="apple-style-span"/>
          <w:b/>
          <w:color w:val="365F91" w:themeColor="accent1" w:themeShade="BF"/>
          <w:sz w:val="28"/>
          <w:szCs w:val="28"/>
          <w:lang w:val="en-US"/>
        </w:rPr>
        <w:t xml:space="preserve"> the e</w:t>
      </w:r>
      <w:r w:rsidR="001F7A55" w:rsidRPr="001F7A55">
        <w:rPr>
          <w:rStyle w:val="apple-style-span"/>
          <w:b/>
          <w:color w:val="365F91" w:themeColor="accent1" w:themeShade="BF"/>
          <w:sz w:val="28"/>
          <w:szCs w:val="28"/>
          <w:lang w:val="en-US"/>
        </w:rPr>
        <w:t>xpected environmental effects related to the Strategic Environmental Assessment for the</w:t>
      </w:r>
      <w:r w:rsidR="001F7A55" w:rsidRPr="001F7A55">
        <w:rPr>
          <w:rStyle w:val="apple-style-span"/>
          <w:b/>
          <w:color w:val="365F91" w:themeColor="accent1" w:themeShade="BF"/>
          <w:sz w:val="28"/>
          <w:szCs w:val="28"/>
        </w:rPr>
        <w:t xml:space="preserve"> HUSKROUA ENI CBC </w:t>
      </w:r>
      <w:proofErr w:type="spellStart"/>
      <w:r w:rsidR="001F7A55" w:rsidRPr="001F7A55">
        <w:rPr>
          <w:rStyle w:val="apple-style-span"/>
          <w:b/>
          <w:color w:val="365F91" w:themeColor="accent1" w:themeShade="BF"/>
          <w:sz w:val="28"/>
          <w:szCs w:val="28"/>
        </w:rPr>
        <w:t>Programme</w:t>
      </w:r>
      <w:proofErr w:type="spellEnd"/>
      <w:r w:rsidR="001F7A55" w:rsidRPr="001F7A55">
        <w:rPr>
          <w:rStyle w:val="apple-style-span"/>
          <w:b/>
          <w:color w:val="365F91" w:themeColor="accent1" w:themeShade="BF"/>
          <w:sz w:val="28"/>
          <w:szCs w:val="28"/>
        </w:rPr>
        <w:t xml:space="preserve"> 2014-2020</w:t>
      </w:r>
    </w:p>
    <w:p w:rsidR="001F7A55" w:rsidRDefault="001F7A55" w:rsidP="001F7A55">
      <w:pPr>
        <w:spacing w:before="120" w:after="120" w:line="300" w:lineRule="auto"/>
        <w:jc w:val="both"/>
        <w:rPr>
          <w:rStyle w:val="apple-style-span"/>
          <w:color w:val="auto"/>
          <w:lang w:val="en-US"/>
        </w:rPr>
      </w:pPr>
    </w:p>
    <w:p w:rsidR="00E34DB5" w:rsidRPr="0008594F" w:rsidRDefault="00E34DB5" w:rsidP="00E34DB5">
      <w:pPr>
        <w:spacing w:before="120" w:after="120" w:line="300" w:lineRule="auto"/>
        <w:jc w:val="both"/>
        <w:rPr>
          <w:rStyle w:val="apple-style-span"/>
          <w:color w:val="auto"/>
          <w:lang w:val="en-US"/>
        </w:rPr>
      </w:pPr>
      <w:r w:rsidRPr="0008594F">
        <w:rPr>
          <w:rStyle w:val="apple-style-span"/>
          <w:color w:val="auto"/>
          <w:lang w:val="en-US"/>
        </w:rPr>
        <w:t xml:space="preserve">In the new programming period of the European Union (2014-2020) the role of </w:t>
      </w:r>
      <w:r w:rsidR="004B4E9D">
        <w:rPr>
          <w:rStyle w:val="apple-style-span"/>
          <w:color w:val="auto"/>
          <w:lang w:val="en-US"/>
        </w:rPr>
        <w:t>E</w:t>
      </w:r>
      <w:r w:rsidRPr="0008594F">
        <w:rPr>
          <w:rStyle w:val="apple-style-span"/>
          <w:color w:val="auto"/>
          <w:lang w:val="en-US"/>
        </w:rPr>
        <w:t>x</w:t>
      </w:r>
      <w:r w:rsidR="004B4E9D">
        <w:rPr>
          <w:rStyle w:val="apple-style-span"/>
          <w:color w:val="auto"/>
          <w:lang w:val="en-US"/>
        </w:rPr>
        <w:t>-</w:t>
      </w:r>
      <w:r w:rsidRPr="0008594F">
        <w:rPr>
          <w:rStyle w:val="apple-style-span"/>
          <w:color w:val="auto"/>
          <w:lang w:val="en-US"/>
        </w:rPr>
        <w:t xml:space="preserve">ante </w:t>
      </w:r>
      <w:r w:rsidR="004B4E9D">
        <w:rPr>
          <w:rStyle w:val="apple-style-span"/>
          <w:color w:val="auto"/>
          <w:lang w:val="en-US"/>
        </w:rPr>
        <w:t>E</w:t>
      </w:r>
      <w:r w:rsidRPr="0008594F">
        <w:rPr>
          <w:rStyle w:val="apple-style-span"/>
          <w:color w:val="auto"/>
          <w:lang w:val="en-US"/>
        </w:rPr>
        <w:t xml:space="preserve">valuation and </w:t>
      </w:r>
      <w:r w:rsidR="004B4E9D" w:rsidRPr="0008594F">
        <w:rPr>
          <w:rStyle w:val="apple-style-span"/>
          <w:color w:val="auto"/>
          <w:lang w:val="en-US"/>
        </w:rPr>
        <w:t xml:space="preserve">Strategic Environmental Assessment </w:t>
      </w:r>
      <w:r w:rsidRPr="0008594F">
        <w:rPr>
          <w:rStyle w:val="apple-style-span"/>
          <w:color w:val="auto"/>
          <w:lang w:val="en-US"/>
        </w:rPr>
        <w:t>is reinforced</w:t>
      </w:r>
      <w:r>
        <w:rPr>
          <w:rStyle w:val="apple-style-span"/>
          <w:color w:val="auto"/>
          <w:lang w:val="en-US"/>
        </w:rPr>
        <w:t xml:space="preserve">. </w:t>
      </w:r>
      <w:r w:rsidRPr="0008594F">
        <w:rPr>
          <w:rStyle w:val="apple-style-span"/>
          <w:color w:val="auto"/>
          <w:lang w:val="en-US"/>
        </w:rPr>
        <w:t xml:space="preserve">The Strategic Environmental Assessment </w:t>
      </w:r>
      <w:r w:rsidR="00822CC9">
        <w:rPr>
          <w:rStyle w:val="apple-style-span"/>
          <w:color w:val="auto"/>
          <w:lang w:val="en-US"/>
        </w:rPr>
        <w:t xml:space="preserve">– </w:t>
      </w:r>
      <w:r w:rsidRPr="0008594F">
        <w:rPr>
          <w:rStyle w:val="apple-style-span"/>
          <w:color w:val="auto"/>
          <w:lang w:val="en-US"/>
        </w:rPr>
        <w:t xml:space="preserve">based on the SEA Directive EU/2001/42 </w:t>
      </w:r>
      <w:r w:rsidR="00822CC9">
        <w:rPr>
          <w:rStyle w:val="apple-style-span"/>
          <w:color w:val="auto"/>
          <w:lang w:val="en-US"/>
        </w:rPr>
        <w:t xml:space="preserve">– </w:t>
      </w:r>
      <w:r w:rsidRPr="0008594F">
        <w:rPr>
          <w:rStyle w:val="apple-style-span"/>
          <w:color w:val="auto"/>
          <w:lang w:val="en-US"/>
        </w:rPr>
        <w:t xml:space="preserve">aims at assessing the impact on the environment of the HUSKROUA ENI CBC </w:t>
      </w:r>
      <w:proofErr w:type="spellStart"/>
      <w:r w:rsidRPr="0008594F">
        <w:rPr>
          <w:rStyle w:val="apple-style-span"/>
          <w:color w:val="auto"/>
          <w:lang w:val="en-US"/>
        </w:rPr>
        <w:t>Programme</w:t>
      </w:r>
      <w:proofErr w:type="spellEnd"/>
      <w:r w:rsidRPr="0008594F">
        <w:rPr>
          <w:rStyle w:val="apple-style-span"/>
          <w:color w:val="auto"/>
          <w:lang w:val="en-US"/>
        </w:rPr>
        <w:t xml:space="preserve"> 2014-2020. </w:t>
      </w:r>
      <w:r w:rsidR="00822CC9">
        <w:rPr>
          <w:rStyle w:val="apple-style-span"/>
          <w:color w:val="auto"/>
          <w:lang w:val="en-US"/>
        </w:rPr>
        <w:t xml:space="preserve">The SEA is </w:t>
      </w:r>
      <w:r w:rsidRPr="0008594F">
        <w:rPr>
          <w:rStyle w:val="apple-style-span"/>
          <w:color w:val="auto"/>
          <w:lang w:val="en-US"/>
        </w:rPr>
        <w:t>an integral part of</w:t>
      </w:r>
      <w:r w:rsidR="004B4E9D">
        <w:rPr>
          <w:rStyle w:val="apple-style-span"/>
          <w:color w:val="auto"/>
          <w:lang w:val="en-US"/>
        </w:rPr>
        <w:t xml:space="preserve"> the whole programming process.</w:t>
      </w:r>
    </w:p>
    <w:p w:rsidR="00E34DB5" w:rsidRPr="0008594F" w:rsidRDefault="00E34DB5" w:rsidP="00E34DB5">
      <w:pPr>
        <w:spacing w:before="120" w:after="120" w:line="300" w:lineRule="auto"/>
        <w:jc w:val="both"/>
        <w:rPr>
          <w:rStyle w:val="apple-style-span"/>
          <w:color w:val="auto"/>
          <w:lang w:val="en-US"/>
        </w:rPr>
      </w:pPr>
      <w:r w:rsidRPr="0008594F">
        <w:rPr>
          <w:rStyle w:val="apple-style-span"/>
          <w:color w:val="auto"/>
          <w:lang w:val="en-US"/>
        </w:rPr>
        <w:t xml:space="preserve">Under Article 3(3) </w:t>
      </w:r>
      <w:r w:rsidR="00822CC9">
        <w:rPr>
          <w:rStyle w:val="apple-style-span"/>
          <w:color w:val="auto"/>
          <w:lang w:val="en-US"/>
        </w:rPr>
        <w:t>and 3(4) of the SEA Directive, E</w:t>
      </w:r>
      <w:r w:rsidRPr="0008594F">
        <w:rPr>
          <w:rStyle w:val="apple-style-span"/>
          <w:color w:val="auto"/>
          <w:lang w:val="en-US"/>
        </w:rPr>
        <w:t xml:space="preserve">nvironmental </w:t>
      </w:r>
      <w:r w:rsidR="00822CC9">
        <w:rPr>
          <w:rStyle w:val="apple-style-span"/>
          <w:color w:val="auto"/>
          <w:lang w:val="en-US"/>
        </w:rPr>
        <w:t>A</w:t>
      </w:r>
      <w:r w:rsidRPr="0008594F">
        <w:rPr>
          <w:rStyle w:val="apple-style-span"/>
          <w:color w:val="auto"/>
          <w:lang w:val="en-US"/>
        </w:rPr>
        <w:t xml:space="preserve">ssessment is required for certain categories of plans and </w:t>
      </w:r>
      <w:proofErr w:type="spellStart"/>
      <w:r w:rsidRPr="0008594F">
        <w:rPr>
          <w:rStyle w:val="apple-style-span"/>
          <w:color w:val="auto"/>
          <w:lang w:val="en-US"/>
        </w:rPr>
        <w:t>programmes</w:t>
      </w:r>
      <w:proofErr w:type="spellEnd"/>
      <w:r w:rsidR="00822CC9">
        <w:rPr>
          <w:rStyle w:val="apple-style-span"/>
          <w:color w:val="auto"/>
          <w:lang w:val="en-US"/>
        </w:rPr>
        <w:t>,</w:t>
      </w:r>
      <w:r w:rsidRPr="0008594F">
        <w:rPr>
          <w:rStyle w:val="apple-style-span"/>
          <w:color w:val="auto"/>
          <w:lang w:val="en-US"/>
        </w:rPr>
        <w:t xml:space="preserve"> only where they are likely to have sig</w:t>
      </w:r>
      <w:r w:rsidR="004B4E9D">
        <w:rPr>
          <w:rStyle w:val="apple-style-span"/>
          <w:color w:val="auto"/>
          <w:lang w:val="en-US"/>
        </w:rPr>
        <w:t>nificant environmental effects.</w:t>
      </w:r>
    </w:p>
    <w:p w:rsidR="005E35A5" w:rsidRPr="00E34DB5" w:rsidRDefault="00E34DB5" w:rsidP="001F7A55">
      <w:pPr>
        <w:spacing w:before="120" w:after="120" w:line="300" w:lineRule="auto"/>
        <w:jc w:val="both"/>
        <w:rPr>
          <w:rStyle w:val="apple-style-span"/>
          <w:b/>
          <w:color w:val="auto"/>
          <w:lang w:val="en-US"/>
        </w:rPr>
      </w:pPr>
      <w:r w:rsidRPr="00E34DB5">
        <w:rPr>
          <w:rStyle w:val="apple-style-span"/>
          <w:b/>
          <w:color w:val="auto"/>
          <w:lang w:val="en-US"/>
        </w:rPr>
        <w:t>The following information is given in Scoping Report</w:t>
      </w:r>
      <w:r w:rsidR="00B0364C">
        <w:rPr>
          <w:rStyle w:val="apple-style-span"/>
          <w:b/>
          <w:color w:val="auto"/>
          <w:lang w:val="en-US"/>
        </w:rPr>
        <w:t xml:space="preserve"> for decision on Scoping</w:t>
      </w:r>
      <w:r w:rsidR="00822CC9">
        <w:rPr>
          <w:rStyle w:val="apple-style-span"/>
          <w:b/>
          <w:color w:val="auto"/>
          <w:lang w:val="en-US"/>
        </w:rPr>
        <w:t>:</w:t>
      </w:r>
    </w:p>
    <w:p w:rsidR="00822CC9" w:rsidRPr="00822CC9" w:rsidRDefault="00822CC9" w:rsidP="00822CC9">
      <w:pPr>
        <w:pStyle w:val="Listaszerbekezds"/>
        <w:numPr>
          <w:ilvl w:val="0"/>
          <w:numId w:val="1"/>
        </w:numPr>
        <w:spacing w:before="120" w:after="120" w:line="300" w:lineRule="auto"/>
        <w:jc w:val="both"/>
        <w:rPr>
          <w:rStyle w:val="apple-style-span"/>
          <w:color w:val="auto"/>
          <w:sz w:val="22"/>
          <w:szCs w:val="22"/>
          <w:lang w:val="en-US"/>
        </w:rPr>
      </w:pPr>
      <w:r w:rsidRPr="00822CC9">
        <w:rPr>
          <w:rStyle w:val="apple-style-span"/>
          <w:color w:val="auto"/>
          <w:sz w:val="22"/>
          <w:szCs w:val="22"/>
          <w:lang w:val="en-US"/>
        </w:rPr>
        <w:t xml:space="preserve">information on the content of the </w:t>
      </w:r>
      <w:proofErr w:type="spellStart"/>
      <w:r w:rsidRPr="00822CC9">
        <w:rPr>
          <w:rStyle w:val="apple-style-span"/>
          <w:color w:val="auto"/>
          <w:sz w:val="22"/>
          <w:szCs w:val="22"/>
          <w:lang w:val="en-US"/>
        </w:rPr>
        <w:t>programme</w:t>
      </w:r>
      <w:proofErr w:type="spellEnd"/>
      <w:r w:rsidRPr="00822CC9">
        <w:rPr>
          <w:rStyle w:val="apple-style-span"/>
          <w:color w:val="auto"/>
          <w:sz w:val="22"/>
          <w:szCs w:val="22"/>
          <w:lang w:val="en-US"/>
        </w:rPr>
        <w:t>,</w:t>
      </w:r>
    </w:p>
    <w:p w:rsidR="00822CC9" w:rsidRPr="00822CC9" w:rsidRDefault="00822CC9" w:rsidP="00822CC9">
      <w:pPr>
        <w:pStyle w:val="Listaszerbekezds"/>
        <w:numPr>
          <w:ilvl w:val="0"/>
          <w:numId w:val="1"/>
        </w:numPr>
        <w:spacing w:before="120" w:after="120" w:line="300" w:lineRule="auto"/>
        <w:jc w:val="both"/>
        <w:rPr>
          <w:rStyle w:val="apple-style-span"/>
          <w:color w:val="auto"/>
          <w:sz w:val="22"/>
          <w:szCs w:val="22"/>
          <w:lang w:val="en-US"/>
        </w:rPr>
      </w:pPr>
      <w:r w:rsidRPr="00822CC9">
        <w:rPr>
          <w:rStyle w:val="apple-style-span"/>
          <w:color w:val="auto"/>
          <w:sz w:val="22"/>
          <w:szCs w:val="22"/>
          <w:lang w:val="en-US"/>
        </w:rPr>
        <w:t>definition of the relevant geographic area and timeframe,</w:t>
      </w:r>
    </w:p>
    <w:p w:rsidR="00822CC9" w:rsidRPr="00822CC9" w:rsidRDefault="00822CC9" w:rsidP="00822CC9">
      <w:pPr>
        <w:pStyle w:val="Listaszerbekezds"/>
        <w:numPr>
          <w:ilvl w:val="0"/>
          <w:numId w:val="1"/>
        </w:numPr>
        <w:spacing w:before="120" w:after="120" w:line="300" w:lineRule="auto"/>
        <w:jc w:val="both"/>
        <w:rPr>
          <w:rStyle w:val="apple-style-span"/>
          <w:color w:val="auto"/>
          <w:sz w:val="22"/>
          <w:szCs w:val="22"/>
          <w:lang w:val="en-US"/>
        </w:rPr>
      </w:pPr>
      <w:r w:rsidRPr="00822CC9">
        <w:rPr>
          <w:rStyle w:val="apple-style-span"/>
          <w:color w:val="auto"/>
          <w:sz w:val="22"/>
          <w:szCs w:val="22"/>
          <w:lang w:val="en-US"/>
        </w:rPr>
        <w:t>overall information on the area, identifying environmental factors and problems related,</w:t>
      </w:r>
    </w:p>
    <w:p w:rsidR="00822CC9" w:rsidRPr="00822CC9" w:rsidRDefault="00822CC9" w:rsidP="00822CC9">
      <w:pPr>
        <w:pStyle w:val="Listaszerbekezds"/>
        <w:numPr>
          <w:ilvl w:val="0"/>
          <w:numId w:val="1"/>
        </w:numPr>
        <w:spacing w:before="120" w:after="120" w:line="300" w:lineRule="auto"/>
        <w:jc w:val="both"/>
        <w:rPr>
          <w:rStyle w:val="apple-style-span"/>
          <w:color w:val="auto"/>
          <w:sz w:val="22"/>
          <w:szCs w:val="22"/>
          <w:lang w:val="en-US"/>
        </w:rPr>
      </w:pPr>
      <w:r w:rsidRPr="00822CC9">
        <w:rPr>
          <w:rStyle w:val="apple-style-span"/>
          <w:color w:val="auto"/>
          <w:sz w:val="22"/>
          <w:szCs w:val="22"/>
          <w:lang w:val="en-US"/>
        </w:rPr>
        <w:t>identified environmental problems and legal background,</w:t>
      </w:r>
    </w:p>
    <w:p w:rsidR="00822CC9" w:rsidRPr="00822CC9" w:rsidRDefault="00822CC9" w:rsidP="00822CC9">
      <w:pPr>
        <w:pStyle w:val="Listaszerbekezds"/>
        <w:numPr>
          <w:ilvl w:val="0"/>
          <w:numId w:val="1"/>
        </w:numPr>
        <w:spacing w:before="120" w:after="120" w:line="300" w:lineRule="auto"/>
        <w:jc w:val="both"/>
        <w:rPr>
          <w:rStyle w:val="apple-style-span"/>
          <w:color w:val="auto"/>
          <w:sz w:val="22"/>
          <w:szCs w:val="22"/>
          <w:lang w:val="en-US"/>
        </w:rPr>
      </w:pPr>
      <w:r w:rsidRPr="00822CC9">
        <w:rPr>
          <w:rStyle w:val="apple-style-span"/>
          <w:color w:val="auto"/>
          <w:sz w:val="22"/>
          <w:szCs w:val="22"/>
          <w:lang w:val="en-US"/>
        </w:rPr>
        <w:t xml:space="preserve">Identifying relevant plans, </w:t>
      </w:r>
      <w:proofErr w:type="spellStart"/>
      <w:r w:rsidRPr="00822CC9">
        <w:rPr>
          <w:rStyle w:val="apple-style-span"/>
          <w:color w:val="auto"/>
          <w:sz w:val="22"/>
          <w:szCs w:val="22"/>
          <w:lang w:val="en-US"/>
        </w:rPr>
        <w:t>programmes</w:t>
      </w:r>
      <w:proofErr w:type="spellEnd"/>
      <w:r w:rsidRPr="00822CC9">
        <w:rPr>
          <w:rStyle w:val="apple-style-span"/>
          <w:color w:val="auto"/>
          <w:sz w:val="22"/>
          <w:szCs w:val="22"/>
          <w:lang w:val="en-US"/>
        </w:rPr>
        <w:t xml:space="preserve"> and environmental protection objectives,</w:t>
      </w:r>
    </w:p>
    <w:p w:rsidR="00822CC9" w:rsidRPr="00822CC9" w:rsidRDefault="00822CC9" w:rsidP="00822CC9">
      <w:pPr>
        <w:pStyle w:val="Listaszerbekezds"/>
        <w:numPr>
          <w:ilvl w:val="0"/>
          <w:numId w:val="1"/>
        </w:numPr>
        <w:spacing w:before="120" w:after="120" w:line="300" w:lineRule="auto"/>
        <w:jc w:val="both"/>
        <w:rPr>
          <w:rStyle w:val="apple-style-span"/>
          <w:color w:val="auto"/>
          <w:sz w:val="22"/>
          <w:szCs w:val="22"/>
          <w:lang w:val="en-US"/>
        </w:rPr>
      </w:pPr>
      <w:r w:rsidRPr="00822CC9">
        <w:rPr>
          <w:rStyle w:val="apple-style-span"/>
          <w:color w:val="auto"/>
          <w:sz w:val="22"/>
          <w:szCs w:val="22"/>
          <w:lang w:val="en-US"/>
        </w:rPr>
        <w:t>definition of the appropriate environmental indicators that will be the basis of the SEA,</w:t>
      </w:r>
    </w:p>
    <w:p w:rsidR="00822CC9" w:rsidRPr="00822CC9" w:rsidRDefault="00822CC9" w:rsidP="00822CC9">
      <w:pPr>
        <w:pStyle w:val="Listaszerbekezds"/>
        <w:numPr>
          <w:ilvl w:val="0"/>
          <w:numId w:val="1"/>
        </w:numPr>
        <w:spacing w:before="120" w:after="120" w:line="300" w:lineRule="auto"/>
        <w:jc w:val="both"/>
        <w:rPr>
          <w:rStyle w:val="apple-style-span"/>
          <w:color w:val="auto"/>
          <w:sz w:val="22"/>
          <w:szCs w:val="22"/>
          <w:lang w:val="en-US"/>
        </w:rPr>
      </w:pPr>
      <w:r w:rsidRPr="00822CC9">
        <w:rPr>
          <w:rStyle w:val="apple-style-span"/>
          <w:color w:val="auto"/>
          <w:sz w:val="22"/>
          <w:szCs w:val="22"/>
          <w:lang w:val="en-US"/>
        </w:rPr>
        <w:t>definition of methods to evaluate the positive and negative impacts,</w:t>
      </w:r>
    </w:p>
    <w:p w:rsidR="00822CC9" w:rsidRPr="00822CC9" w:rsidRDefault="00822CC9" w:rsidP="00822CC9">
      <w:pPr>
        <w:pStyle w:val="Listaszerbekezds"/>
        <w:numPr>
          <w:ilvl w:val="0"/>
          <w:numId w:val="1"/>
        </w:numPr>
        <w:spacing w:before="120" w:after="120" w:line="300" w:lineRule="auto"/>
        <w:jc w:val="both"/>
        <w:rPr>
          <w:rStyle w:val="apple-style-span"/>
          <w:color w:val="auto"/>
          <w:sz w:val="22"/>
          <w:szCs w:val="22"/>
          <w:lang w:val="en-US"/>
        </w:rPr>
      </w:pPr>
      <w:r w:rsidRPr="00822CC9">
        <w:rPr>
          <w:rStyle w:val="apple-style-span"/>
          <w:color w:val="auto"/>
          <w:sz w:val="22"/>
          <w:szCs w:val="22"/>
          <w:lang w:val="en-US"/>
        </w:rPr>
        <w:t>concept of assessment</w:t>
      </w:r>
    </w:p>
    <w:p w:rsidR="00822CC9" w:rsidRPr="00822CC9" w:rsidRDefault="00822CC9" w:rsidP="00822CC9">
      <w:pPr>
        <w:pStyle w:val="Listaszerbekezds"/>
        <w:numPr>
          <w:ilvl w:val="0"/>
          <w:numId w:val="1"/>
        </w:numPr>
        <w:spacing w:before="120" w:after="120" w:line="300" w:lineRule="auto"/>
        <w:jc w:val="both"/>
        <w:rPr>
          <w:rStyle w:val="apple-style-span"/>
          <w:color w:val="auto"/>
          <w:sz w:val="22"/>
          <w:szCs w:val="22"/>
          <w:lang w:val="en-US"/>
        </w:rPr>
      </w:pPr>
      <w:r w:rsidRPr="00822CC9">
        <w:rPr>
          <w:rStyle w:val="apple-style-span"/>
          <w:color w:val="auto"/>
          <w:sz w:val="22"/>
          <w:szCs w:val="22"/>
          <w:lang w:val="en-US"/>
        </w:rPr>
        <w:t>information on the SEA process, involvement of responsible bodies, sources of information,</w:t>
      </w:r>
    </w:p>
    <w:p w:rsidR="00822CC9" w:rsidRPr="00822CC9" w:rsidRDefault="00822CC9" w:rsidP="00822CC9">
      <w:pPr>
        <w:pStyle w:val="Listaszerbekezds"/>
        <w:numPr>
          <w:ilvl w:val="0"/>
          <w:numId w:val="1"/>
        </w:numPr>
        <w:spacing w:before="120" w:after="120" w:line="300" w:lineRule="auto"/>
        <w:jc w:val="both"/>
        <w:rPr>
          <w:rStyle w:val="apple-style-span"/>
          <w:color w:val="auto"/>
          <w:sz w:val="22"/>
          <w:szCs w:val="22"/>
          <w:lang w:val="en-US"/>
        </w:rPr>
      </w:pPr>
      <w:proofErr w:type="gramStart"/>
      <w:r w:rsidRPr="00822CC9">
        <w:rPr>
          <w:rStyle w:val="apple-style-span"/>
          <w:color w:val="auto"/>
          <w:sz w:val="22"/>
          <w:szCs w:val="22"/>
          <w:lang w:val="en-US"/>
        </w:rPr>
        <w:t>definition</w:t>
      </w:r>
      <w:proofErr w:type="gramEnd"/>
      <w:r w:rsidRPr="00822CC9">
        <w:rPr>
          <w:rStyle w:val="apple-style-span"/>
          <w:color w:val="auto"/>
          <w:sz w:val="22"/>
          <w:szCs w:val="22"/>
          <w:lang w:val="en-US"/>
        </w:rPr>
        <w:t xml:space="preserve"> of the method of generating and evaluating reasonable alternatives.</w:t>
      </w:r>
    </w:p>
    <w:p w:rsidR="00E34DB5" w:rsidRDefault="00822CC9" w:rsidP="001F7A55">
      <w:pPr>
        <w:spacing w:before="120" w:after="120" w:line="300" w:lineRule="auto"/>
        <w:jc w:val="both"/>
        <w:rPr>
          <w:rStyle w:val="apple-style-span"/>
          <w:color w:val="auto"/>
          <w:lang w:val="en-US"/>
        </w:rPr>
      </w:pPr>
      <w:r>
        <w:rPr>
          <w:rStyle w:val="apple-style-span"/>
          <w:color w:val="auto"/>
          <w:lang w:val="en-US"/>
        </w:rPr>
        <w:t>The Scoping Report and its E</w:t>
      </w:r>
      <w:r w:rsidR="00E34DB5">
        <w:rPr>
          <w:rStyle w:val="apple-style-span"/>
          <w:color w:val="auto"/>
          <w:lang w:val="en-US"/>
        </w:rPr>
        <w:t xml:space="preserve">xecutive </w:t>
      </w:r>
      <w:r>
        <w:rPr>
          <w:rStyle w:val="apple-style-span"/>
          <w:color w:val="auto"/>
          <w:lang w:val="en-US"/>
        </w:rPr>
        <w:t>S</w:t>
      </w:r>
      <w:r w:rsidR="00E34DB5">
        <w:rPr>
          <w:rStyle w:val="apple-style-span"/>
          <w:color w:val="auto"/>
          <w:lang w:val="en-US"/>
        </w:rPr>
        <w:t xml:space="preserve">ummary </w:t>
      </w:r>
      <w:r>
        <w:rPr>
          <w:rStyle w:val="apple-style-span"/>
          <w:color w:val="auto"/>
          <w:lang w:val="en-US"/>
        </w:rPr>
        <w:t>are</w:t>
      </w:r>
      <w:r w:rsidR="00E34DB5">
        <w:rPr>
          <w:rStyle w:val="apple-style-span"/>
          <w:color w:val="auto"/>
          <w:lang w:val="en-US"/>
        </w:rPr>
        <w:t xml:space="preserve"> </w:t>
      </w:r>
      <w:r>
        <w:rPr>
          <w:rStyle w:val="apple-style-span"/>
          <w:color w:val="auto"/>
          <w:lang w:val="en-US"/>
        </w:rPr>
        <w:t>made available</w:t>
      </w:r>
      <w:r w:rsidR="00E34DB5">
        <w:rPr>
          <w:rStyle w:val="apple-style-span"/>
          <w:color w:val="auto"/>
          <w:lang w:val="en-US"/>
        </w:rPr>
        <w:t xml:space="preserve"> to the relevant environmental authorities to comment and approve </w:t>
      </w:r>
      <w:r w:rsidR="00E34DB5" w:rsidRPr="00E34DB5">
        <w:rPr>
          <w:rStyle w:val="apple-style-span"/>
          <w:color w:val="auto"/>
          <w:lang w:val="en-US"/>
        </w:rPr>
        <w:t xml:space="preserve">the expected environmental effects related to the Strategic Environmental Assessment for the HUSKROUA ENI </w:t>
      </w:r>
      <w:r>
        <w:rPr>
          <w:rStyle w:val="apple-style-span"/>
          <w:color w:val="auto"/>
          <w:lang w:val="en-US"/>
        </w:rPr>
        <w:t>Cross-Border Cooperation</w:t>
      </w:r>
      <w:r w:rsidR="00E34DB5" w:rsidRPr="00E34DB5">
        <w:rPr>
          <w:rStyle w:val="apple-style-span"/>
          <w:color w:val="auto"/>
          <w:lang w:val="en-US"/>
        </w:rPr>
        <w:t xml:space="preserve"> </w:t>
      </w:r>
      <w:proofErr w:type="spellStart"/>
      <w:r w:rsidR="00E34DB5" w:rsidRPr="00E34DB5">
        <w:rPr>
          <w:rStyle w:val="apple-style-span"/>
          <w:color w:val="auto"/>
          <w:lang w:val="en-US"/>
        </w:rPr>
        <w:t>Programme</w:t>
      </w:r>
      <w:proofErr w:type="spellEnd"/>
      <w:r w:rsidR="00E34DB5" w:rsidRPr="00E34DB5">
        <w:rPr>
          <w:rStyle w:val="apple-style-span"/>
          <w:color w:val="auto"/>
          <w:lang w:val="en-US"/>
        </w:rPr>
        <w:t xml:space="preserve"> 2014-2020</w:t>
      </w:r>
      <w:r w:rsidR="00E34DB5">
        <w:rPr>
          <w:rStyle w:val="apple-style-span"/>
          <w:color w:val="auto"/>
          <w:lang w:val="en-US"/>
        </w:rPr>
        <w:t>.</w:t>
      </w:r>
    </w:p>
    <w:p w:rsidR="00E34DB5" w:rsidRDefault="00E34DB5" w:rsidP="001F7A55">
      <w:pPr>
        <w:spacing w:before="120" w:after="120" w:line="300" w:lineRule="auto"/>
        <w:jc w:val="both"/>
        <w:rPr>
          <w:rStyle w:val="apple-style-span"/>
          <w:color w:val="auto"/>
          <w:lang w:val="en-US"/>
        </w:rPr>
      </w:pPr>
      <w:r w:rsidRPr="00E34DB5">
        <w:rPr>
          <w:rStyle w:val="apple-style-span"/>
          <w:b/>
          <w:color w:val="auto"/>
          <w:lang w:val="en-US"/>
        </w:rPr>
        <w:t>The assessment object</w:t>
      </w:r>
      <w:r w:rsidRPr="0008594F">
        <w:rPr>
          <w:rStyle w:val="apple-style-span"/>
          <w:color w:val="auto"/>
          <w:lang w:val="en-US"/>
        </w:rPr>
        <w:t xml:space="preserve"> of the SEA is the Joint </w:t>
      </w:r>
      <w:r>
        <w:rPr>
          <w:rStyle w:val="apple-style-span"/>
          <w:color w:val="auto"/>
          <w:lang w:val="en-US"/>
        </w:rPr>
        <w:t xml:space="preserve">Operational </w:t>
      </w:r>
      <w:proofErr w:type="spellStart"/>
      <w:r w:rsidRPr="0008594F">
        <w:rPr>
          <w:rStyle w:val="apple-style-span"/>
          <w:color w:val="auto"/>
          <w:lang w:val="en-US"/>
        </w:rPr>
        <w:t>Programme</w:t>
      </w:r>
      <w:proofErr w:type="spellEnd"/>
      <w:r w:rsidRPr="0008594F">
        <w:rPr>
          <w:rStyle w:val="apple-style-span"/>
          <w:color w:val="auto"/>
          <w:lang w:val="en-US"/>
        </w:rPr>
        <w:t xml:space="preserve"> for the HUSKROUA ENI CBC </w:t>
      </w:r>
      <w:proofErr w:type="spellStart"/>
      <w:r w:rsidRPr="0008594F">
        <w:rPr>
          <w:rStyle w:val="apple-style-span"/>
          <w:color w:val="auto"/>
          <w:lang w:val="en-US"/>
        </w:rPr>
        <w:t>Programme</w:t>
      </w:r>
      <w:proofErr w:type="spellEnd"/>
      <w:r w:rsidRPr="0008594F">
        <w:rPr>
          <w:rStyle w:val="apple-style-span"/>
          <w:color w:val="auto"/>
          <w:lang w:val="en-US"/>
        </w:rPr>
        <w:t xml:space="preserve"> 2014-2020.</w:t>
      </w:r>
    </w:p>
    <w:p w:rsidR="00E34DB5" w:rsidRPr="0008594F" w:rsidRDefault="00E34DB5" w:rsidP="00E34DB5">
      <w:pPr>
        <w:spacing w:before="120" w:after="120" w:line="300" w:lineRule="auto"/>
        <w:jc w:val="both"/>
        <w:rPr>
          <w:rStyle w:val="apple-style-span"/>
          <w:color w:val="auto"/>
          <w:lang w:val="en-US"/>
        </w:rPr>
      </w:pPr>
      <w:r w:rsidRPr="00E34DB5">
        <w:rPr>
          <w:rStyle w:val="apple-style-span"/>
          <w:b/>
          <w:color w:val="auto"/>
          <w:lang w:val="en-US"/>
        </w:rPr>
        <w:t>The geographical frame:</w:t>
      </w:r>
      <w:r>
        <w:rPr>
          <w:rStyle w:val="apple-style-span"/>
          <w:color w:val="auto"/>
          <w:lang w:val="en-US"/>
        </w:rPr>
        <w:t xml:space="preserve"> </w:t>
      </w:r>
      <w:r w:rsidRPr="0008594F">
        <w:rPr>
          <w:rStyle w:val="apple-style-span"/>
          <w:color w:val="auto"/>
          <w:lang w:val="en-US"/>
        </w:rPr>
        <w:t>The Participating Countries of the HUSKROUA ENI CBC</w:t>
      </w:r>
      <w:r>
        <w:rPr>
          <w:rStyle w:val="apple-style-span"/>
          <w:color w:val="auto"/>
          <w:lang w:val="en-US"/>
        </w:rPr>
        <w:t xml:space="preserve"> </w:t>
      </w:r>
      <w:proofErr w:type="spellStart"/>
      <w:r w:rsidRPr="0008594F">
        <w:rPr>
          <w:rStyle w:val="apple-style-span"/>
          <w:color w:val="auto"/>
          <w:lang w:val="en-US"/>
        </w:rPr>
        <w:t>Programme</w:t>
      </w:r>
      <w:proofErr w:type="spellEnd"/>
      <w:r w:rsidRPr="0008594F">
        <w:rPr>
          <w:rStyle w:val="apple-style-span"/>
          <w:color w:val="auto"/>
          <w:lang w:val="en-US"/>
        </w:rPr>
        <w:t xml:space="preserve"> 2014-2020 are Hungary, Slovakia, Romania and Ukraine. The </w:t>
      </w:r>
      <w:proofErr w:type="spellStart"/>
      <w:r w:rsidRPr="0008594F">
        <w:rPr>
          <w:rStyle w:val="apple-style-span"/>
          <w:color w:val="auto"/>
          <w:lang w:val="en-US"/>
        </w:rPr>
        <w:t>programme</w:t>
      </w:r>
      <w:proofErr w:type="spellEnd"/>
      <w:r w:rsidRPr="0008594F">
        <w:rPr>
          <w:rStyle w:val="apple-style-span"/>
          <w:color w:val="auto"/>
          <w:lang w:val="en-US"/>
        </w:rPr>
        <w:t xml:space="preserve"> area covers core</w:t>
      </w:r>
      <w:r w:rsidR="00937A1C">
        <w:rPr>
          <w:rStyle w:val="apple-style-span"/>
          <w:color w:val="auto"/>
          <w:lang w:val="en-US"/>
        </w:rPr>
        <w:t xml:space="preserve"> regions and adjoining regions.</w:t>
      </w:r>
    </w:p>
    <w:p w:rsidR="00E34DB5" w:rsidRPr="0008594F" w:rsidRDefault="00E34DB5" w:rsidP="00E34DB5">
      <w:pPr>
        <w:spacing w:before="120" w:after="120" w:line="300" w:lineRule="auto"/>
        <w:jc w:val="both"/>
        <w:rPr>
          <w:rStyle w:val="apple-style-span"/>
          <w:color w:val="auto"/>
          <w:lang w:val="en-US"/>
        </w:rPr>
      </w:pPr>
      <w:r w:rsidRPr="0008594F">
        <w:rPr>
          <w:rStyle w:val="apple-style-span"/>
          <w:color w:val="auto"/>
          <w:lang w:val="en-US"/>
        </w:rPr>
        <w:t xml:space="preserve">The core regions of the </w:t>
      </w:r>
      <w:proofErr w:type="spellStart"/>
      <w:r w:rsidRPr="0008594F">
        <w:rPr>
          <w:rStyle w:val="apple-style-span"/>
          <w:color w:val="auto"/>
          <w:lang w:val="en-US"/>
        </w:rPr>
        <w:t>programme</w:t>
      </w:r>
      <w:proofErr w:type="spellEnd"/>
      <w:r w:rsidRPr="0008594F">
        <w:rPr>
          <w:rStyle w:val="apple-style-span"/>
          <w:color w:val="auto"/>
          <w:lang w:val="en-US"/>
        </w:rPr>
        <w:t xml:space="preserve"> are the following 7 territorial units:</w:t>
      </w:r>
    </w:p>
    <w:p w:rsidR="00E34DB5" w:rsidRPr="0008594F" w:rsidRDefault="00E34DB5" w:rsidP="00E34DB5">
      <w:pPr>
        <w:pStyle w:val="Listaszerbekezds"/>
        <w:numPr>
          <w:ilvl w:val="0"/>
          <w:numId w:val="3"/>
        </w:numPr>
        <w:spacing w:after="0" w:line="300" w:lineRule="auto"/>
        <w:jc w:val="both"/>
        <w:rPr>
          <w:rStyle w:val="apple-style-span"/>
          <w:color w:val="auto"/>
          <w:lang w:val="en-US"/>
        </w:rPr>
      </w:pPr>
      <w:r w:rsidRPr="0008594F">
        <w:rPr>
          <w:rStyle w:val="apple-style-span"/>
          <w:color w:val="auto"/>
          <w:lang w:val="en-US"/>
        </w:rPr>
        <w:t>Szabolcs-</w:t>
      </w:r>
      <w:proofErr w:type="spellStart"/>
      <w:r w:rsidRPr="0008594F">
        <w:rPr>
          <w:rStyle w:val="apple-style-span"/>
          <w:color w:val="auto"/>
          <w:lang w:val="en-US"/>
        </w:rPr>
        <w:t>Szatmár</w:t>
      </w:r>
      <w:proofErr w:type="spellEnd"/>
      <w:r w:rsidRPr="0008594F">
        <w:rPr>
          <w:rStyle w:val="apple-style-span"/>
          <w:color w:val="auto"/>
          <w:lang w:val="en-US"/>
        </w:rPr>
        <w:t>-</w:t>
      </w:r>
      <w:proofErr w:type="spellStart"/>
      <w:r w:rsidRPr="0008594F">
        <w:rPr>
          <w:rStyle w:val="apple-style-span"/>
          <w:color w:val="auto"/>
          <w:lang w:val="en-US"/>
        </w:rPr>
        <w:t>Bereg</w:t>
      </w:r>
      <w:proofErr w:type="spellEnd"/>
      <w:r w:rsidRPr="0008594F">
        <w:rPr>
          <w:rStyle w:val="apple-style-span"/>
          <w:color w:val="auto"/>
          <w:lang w:val="en-US"/>
        </w:rPr>
        <w:t xml:space="preserve"> county, Hungary (NUTS III)</w:t>
      </w:r>
    </w:p>
    <w:p w:rsidR="00E34DB5" w:rsidRPr="0008594F" w:rsidRDefault="00E34DB5" w:rsidP="00E34DB5">
      <w:pPr>
        <w:pStyle w:val="Listaszerbekezds"/>
        <w:numPr>
          <w:ilvl w:val="0"/>
          <w:numId w:val="3"/>
        </w:numPr>
        <w:spacing w:after="0" w:line="300" w:lineRule="auto"/>
        <w:jc w:val="both"/>
        <w:rPr>
          <w:rStyle w:val="apple-style-span"/>
          <w:color w:val="auto"/>
          <w:lang w:val="en-US"/>
        </w:rPr>
      </w:pPr>
      <w:proofErr w:type="spellStart"/>
      <w:r w:rsidRPr="0008594F">
        <w:rPr>
          <w:rStyle w:val="apple-style-span"/>
          <w:color w:val="auto"/>
          <w:lang w:val="en-US"/>
        </w:rPr>
        <w:t>Košický</w:t>
      </w:r>
      <w:proofErr w:type="spellEnd"/>
      <w:r w:rsidRPr="0008594F">
        <w:rPr>
          <w:rStyle w:val="apple-style-span"/>
          <w:color w:val="auto"/>
          <w:lang w:val="en-US"/>
        </w:rPr>
        <w:t xml:space="preserve"> region, Slovakia (NUTS III)</w:t>
      </w:r>
    </w:p>
    <w:p w:rsidR="00E34DB5" w:rsidRPr="0008594F" w:rsidRDefault="00E34DB5" w:rsidP="00E34DB5">
      <w:pPr>
        <w:pStyle w:val="Listaszerbekezds"/>
        <w:numPr>
          <w:ilvl w:val="0"/>
          <w:numId w:val="3"/>
        </w:numPr>
        <w:spacing w:after="0" w:line="300" w:lineRule="auto"/>
        <w:jc w:val="both"/>
        <w:rPr>
          <w:rStyle w:val="apple-style-span"/>
          <w:color w:val="auto"/>
          <w:lang w:val="en-US"/>
        </w:rPr>
      </w:pPr>
      <w:proofErr w:type="spellStart"/>
      <w:r w:rsidRPr="0008594F">
        <w:rPr>
          <w:rStyle w:val="apple-style-span"/>
          <w:color w:val="auto"/>
          <w:lang w:val="en-US"/>
        </w:rPr>
        <w:t>Prešovský</w:t>
      </w:r>
      <w:proofErr w:type="spellEnd"/>
      <w:r w:rsidRPr="0008594F">
        <w:rPr>
          <w:rStyle w:val="apple-style-span"/>
          <w:color w:val="auto"/>
          <w:lang w:val="en-US"/>
        </w:rPr>
        <w:t xml:space="preserve"> region, Slovakia (NUTS III)</w:t>
      </w:r>
    </w:p>
    <w:p w:rsidR="00E34DB5" w:rsidRPr="0008594F" w:rsidRDefault="00E34DB5" w:rsidP="00E34DB5">
      <w:pPr>
        <w:pStyle w:val="Listaszerbekezds"/>
        <w:numPr>
          <w:ilvl w:val="0"/>
          <w:numId w:val="3"/>
        </w:numPr>
        <w:spacing w:after="0" w:line="300" w:lineRule="auto"/>
        <w:jc w:val="both"/>
        <w:rPr>
          <w:rStyle w:val="apple-style-span"/>
          <w:color w:val="auto"/>
          <w:lang w:val="en-US"/>
        </w:rPr>
      </w:pPr>
      <w:proofErr w:type="spellStart"/>
      <w:r w:rsidRPr="0008594F">
        <w:rPr>
          <w:rStyle w:val="apple-style-span"/>
          <w:color w:val="auto"/>
          <w:lang w:val="en-US"/>
        </w:rPr>
        <w:lastRenderedPageBreak/>
        <w:t>Maramureş</w:t>
      </w:r>
      <w:proofErr w:type="spellEnd"/>
      <w:r w:rsidRPr="0008594F">
        <w:rPr>
          <w:rStyle w:val="apple-style-span"/>
          <w:color w:val="auto"/>
          <w:lang w:val="en-US"/>
        </w:rPr>
        <w:t xml:space="preserve"> county, Romania (NUTS III)</w:t>
      </w:r>
    </w:p>
    <w:p w:rsidR="00E34DB5" w:rsidRPr="0008594F" w:rsidRDefault="00E34DB5" w:rsidP="00E34DB5">
      <w:pPr>
        <w:pStyle w:val="Listaszerbekezds"/>
        <w:numPr>
          <w:ilvl w:val="0"/>
          <w:numId w:val="3"/>
        </w:numPr>
        <w:spacing w:after="0" w:line="300" w:lineRule="auto"/>
        <w:jc w:val="both"/>
        <w:rPr>
          <w:rStyle w:val="apple-style-span"/>
          <w:color w:val="auto"/>
          <w:lang w:val="en-US"/>
        </w:rPr>
      </w:pPr>
      <w:r w:rsidRPr="0008594F">
        <w:rPr>
          <w:rStyle w:val="apple-style-span"/>
          <w:color w:val="auto"/>
          <w:lang w:val="en-US"/>
        </w:rPr>
        <w:t>Satu-Mare county, Romania (NUTS III)</w:t>
      </w:r>
    </w:p>
    <w:p w:rsidR="00E34DB5" w:rsidRPr="0008594F" w:rsidRDefault="00E34DB5" w:rsidP="00E34DB5">
      <w:pPr>
        <w:pStyle w:val="Listaszerbekezds"/>
        <w:numPr>
          <w:ilvl w:val="0"/>
          <w:numId w:val="3"/>
        </w:numPr>
        <w:spacing w:after="0" w:line="300" w:lineRule="auto"/>
        <w:jc w:val="both"/>
        <w:rPr>
          <w:rStyle w:val="apple-style-span"/>
          <w:color w:val="auto"/>
          <w:lang w:val="en-US"/>
        </w:rPr>
      </w:pPr>
      <w:proofErr w:type="spellStart"/>
      <w:r w:rsidRPr="0008594F">
        <w:rPr>
          <w:rStyle w:val="apple-style-span"/>
          <w:color w:val="auto"/>
          <w:lang w:val="en-US"/>
        </w:rPr>
        <w:t>Ivano-Frankivska</w:t>
      </w:r>
      <w:proofErr w:type="spellEnd"/>
      <w:r w:rsidRPr="0008594F">
        <w:rPr>
          <w:rStyle w:val="apple-style-span"/>
          <w:color w:val="auto"/>
          <w:lang w:val="en-US"/>
        </w:rPr>
        <w:t xml:space="preserve"> region, Ukraine</w:t>
      </w:r>
    </w:p>
    <w:p w:rsidR="00E34DB5" w:rsidRPr="0008594F" w:rsidRDefault="00E34DB5" w:rsidP="00E34DB5">
      <w:pPr>
        <w:pStyle w:val="Listaszerbekezds"/>
        <w:numPr>
          <w:ilvl w:val="0"/>
          <w:numId w:val="3"/>
        </w:numPr>
        <w:spacing w:after="0" w:line="300" w:lineRule="auto"/>
        <w:jc w:val="both"/>
        <w:rPr>
          <w:rStyle w:val="apple-style-span"/>
          <w:color w:val="auto"/>
          <w:lang w:val="en-US"/>
        </w:rPr>
      </w:pPr>
      <w:proofErr w:type="spellStart"/>
      <w:r w:rsidRPr="0008594F">
        <w:rPr>
          <w:rStyle w:val="apple-style-span"/>
          <w:color w:val="auto"/>
          <w:lang w:val="en-US"/>
        </w:rPr>
        <w:t>Zakarpatska</w:t>
      </w:r>
      <w:proofErr w:type="spellEnd"/>
      <w:r w:rsidRPr="0008594F">
        <w:rPr>
          <w:rStyle w:val="apple-style-span"/>
          <w:color w:val="auto"/>
          <w:lang w:val="en-US"/>
        </w:rPr>
        <w:t xml:space="preserve"> region, Ukraine</w:t>
      </w:r>
    </w:p>
    <w:p w:rsidR="00E34DB5" w:rsidRPr="0008594F" w:rsidRDefault="00E34DB5" w:rsidP="00E34DB5">
      <w:pPr>
        <w:spacing w:before="120" w:after="120" w:line="300" w:lineRule="auto"/>
        <w:jc w:val="both"/>
        <w:rPr>
          <w:rStyle w:val="apple-style-span"/>
          <w:color w:val="auto"/>
          <w:lang w:val="en-US"/>
        </w:rPr>
      </w:pPr>
      <w:r w:rsidRPr="0008594F">
        <w:rPr>
          <w:rStyle w:val="apple-style-span"/>
          <w:color w:val="auto"/>
          <w:lang w:val="en-US"/>
        </w:rPr>
        <w:t>The adjoin</w:t>
      </w:r>
      <w:r w:rsidR="004B4E9D">
        <w:rPr>
          <w:rStyle w:val="apple-style-span"/>
          <w:color w:val="auto"/>
          <w:lang w:val="en-US"/>
        </w:rPr>
        <w:t>ing</w:t>
      </w:r>
      <w:r w:rsidRPr="0008594F">
        <w:rPr>
          <w:rStyle w:val="apple-style-span"/>
          <w:color w:val="auto"/>
          <w:lang w:val="en-US"/>
        </w:rPr>
        <w:t xml:space="preserve"> regions of the </w:t>
      </w:r>
      <w:proofErr w:type="spellStart"/>
      <w:r w:rsidRPr="0008594F">
        <w:rPr>
          <w:rStyle w:val="apple-style-span"/>
          <w:color w:val="auto"/>
          <w:lang w:val="en-US"/>
        </w:rPr>
        <w:t>programme</w:t>
      </w:r>
      <w:proofErr w:type="spellEnd"/>
      <w:r w:rsidRPr="0008594F">
        <w:rPr>
          <w:rStyle w:val="apple-style-span"/>
          <w:color w:val="auto"/>
          <w:lang w:val="en-US"/>
        </w:rPr>
        <w:t xml:space="preserve"> are the </w:t>
      </w:r>
      <w:r w:rsidR="004B4E9D">
        <w:rPr>
          <w:rStyle w:val="apple-style-span"/>
          <w:color w:val="auto"/>
          <w:lang w:val="en-US"/>
        </w:rPr>
        <w:t xml:space="preserve">following </w:t>
      </w:r>
      <w:r w:rsidRPr="0008594F">
        <w:rPr>
          <w:rStyle w:val="apple-style-span"/>
          <w:color w:val="auto"/>
          <w:lang w:val="en-US"/>
        </w:rPr>
        <w:t>territorial units:</w:t>
      </w:r>
    </w:p>
    <w:p w:rsidR="00E34DB5" w:rsidRPr="0008594F" w:rsidRDefault="00E34DB5" w:rsidP="00E34DB5">
      <w:pPr>
        <w:pStyle w:val="Listaszerbekezds"/>
        <w:numPr>
          <w:ilvl w:val="0"/>
          <w:numId w:val="3"/>
        </w:numPr>
        <w:spacing w:after="0" w:line="300" w:lineRule="auto"/>
        <w:jc w:val="both"/>
        <w:rPr>
          <w:rStyle w:val="apple-style-span"/>
          <w:color w:val="auto"/>
          <w:lang w:val="en-US"/>
        </w:rPr>
      </w:pPr>
      <w:proofErr w:type="spellStart"/>
      <w:r w:rsidRPr="0008594F">
        <w:rPr>
          <w:rStyle w:val="apple-style-span"/>
          <w:color w:val="auto"/>
          <w:lang w:val="en-US"/>
        </w:rPr>
        <w:t>Borsod-Abaúj-Zemplén</w:t>
      </w:r>
      <w:proofErr w:type="spellEnd"/>
      <w:r w:rsidRPr="0008594F">
        <w:rPr>
          <w:rStyle w:val="apple-style-span"/>
          <w:color w:val="auto"/>
          <w:lang w:val="en-US"/>
        </w:rPr>
        <w:t xml:space="preserve"> county, Hungary (NUTS III)</w:t>
      </w:r>
    </w:p>
    <w:p w:rsidR="00E34DB5" w:rsidRPr="0008594F" w:rsidRDefault="00E34DB5" w:rsidP="00E34DB5">
      <w:pPr>
        <w:pStyle w:val="Listaszerbekezds"/>
        <w:numPr>
          <w:ilvl w:val="0"/>
          <w:numId w:val="3"/>
        </w:numPr>
        <w:spacing w:after="0" w:line="300" w:lineRule="auto"/>
        <w:jc w:val="both"/>
        <w:rPr>
          <w:rStyle w:val="apple-style-span"/>
          <w:color w:val="auto"/>
          <w:lang w:val="en-US"/>
        </w:rPr>
      </w:pPr>
      <w:proofErr w:type="spellStart"/>
      <w:r w:rsidRPr="0008594F">
        <w:rPr>
          <w:rStyle w:val="apple-style-span"/>
          <w:color w:val="auto"/>
          <w:lang w:val="en-US"/>
        </w:rPr>
        <w:t>Suceava</w:t>
      </w:r>
      <w:proofErr w:type="spellEnd"/>
      <w:r w:rsidRPr="0008594F">
        <w:rPr>
          <w:rStyle w:val="apple-style-span"/>
          <w:color w:val="auto"/>
          <w:lang w:val="en-US"/>
        </w:rPr>
        <w:t xml:space="preserve"> county, Romania (NUTS III)</w:t>
      </w:r>
    </w:p>
    <w:p w:rsidR="00E34DB5" w:rsidRPr="0008594F" w:rsidRDefault="00E34DB5" w:rsidP="00E34DB5">
      <w:pPr>
        <w:pStyle w:val="Listaszerbekezds"/>
        <w:numPr>
          <w:ilvl w:val="0"/>
          <w:numId w:val="3"/>
        </w:numPr>
        <w:spacing w:after="0" w:line="300" w:lineRule="auto"/>
        <w:jc w:val="both"/>
        <w:rPr>
          <w:rStyle w:val="apple-style-span"/>
          <w:color w:val="auto"/>
          <w:lang w:val="en-US"/>
        </w:rPr>
      </w:pPr>
      <w:proofErr w:type="spellStart"/>
      <w:r w:rsidRPr="0008594F">
        <w:rPr>
          <w:rStyle w:val="apple-style-span"/>
          <w:color w:val="auto"/>
          <w:lang w:val="en-US"/>
        </w:rPr>
        <w:t>Chernivetska</w:t>
      </w:r>
      <w:proofErr w:type="spellEnd"/>
      <w:r w:rsidRPr="0008594F">
        <w:rPr>
          <w:rStyle w:val="apple-style-span"/>
          <w:color w:val="auto"/>
          <w:lang w:val="en-US"/>
        </w:rPr>
        <w:t xml:space="preserve"> region, Ukraine</w:t>
      </w:r>
    </w:p>
    <w:p w:rsidR="00E34DB5" w:rsidRPr="00E34DB5" w:rsidRDefault="00E34DB5" w:rsidP="00E34DB5">
      <w:pPr>
        <w:spacing w:before="120" w:after="120" w:line="300" w:lineRule="auto"/>
        <w:jc w:val="both"/>
        <w:rPr>
          <w:rStyle w:val="apple-style-span"/>
          <w:color w:val="auto"/>
          <w:lang w:val="en-US"/>
        </w:rPr>
      </w:pPr>
      <w:r w:rsidRPr="00E34DB5">
        <w:rPr>
          <w:rStyle w:val="apple-style-span"/>
          <w:b/>
          <w:color w:val="auto"/>
          <w:lang w:val="en-US"/>
        </w:rPr>
        <w:t>The timeframe:</w:t>
      </w:r>
      <w:r>
        <w:rPr>
          <w:rStyle w:val="apple-style-span"/>
          <w:color w:val="auto"/>
          <w:lang w:val="en-US"/>
        </w:rPr>
        <w:t xml:space="preserve"> </w:t>
      </w:r>
      <w:r w:rsidRPr="00E34DB5">
        <w:rPr>
          <w:rStyle w:val="apple-style-span"/>
          <w:color w:val="auto"/>
          <w:lang w:val="en-US"/>
        </w:rPr>
        <w:t xml:space="preserve">According to Article 4(1) of the SEA Directive “The environmental assessment referred to in Article 3 shall be carried out during the preparation of a plan or </w:t>
      </w:r>
      <w:proofErr w:type="spellStart"/>
      <w:r w:rsidRPr="00E34DB5">
        <w:rPr>
          <w:rStyle w:val="apple-style-span"/>
          <w:color w:val="auto"/>
          <w:lang w:val="en-US"/>
        </w:rPr>
        <w:t>programme</w:t>
      </w:r>
      <w:proofErr w:type="spellEnd"/>
      <w:r w:rsidRPr="00E34DB5">
        <w:rPr>
          <w:rStyle w:val="apple-style-span"/>
          <w:color w:val="auto"/>
          <w:lang w:val="en-US"/>
        </w:rPr>
        <w:t xml:space="preserve"> and before its adoption or submission to the legislative procedure.”</w:t>
      </w:r>
    </w:p>
    <w:p w:rsidR="00E34DB5" w:rsidRPr="00E34DB5" w:rsidRDefault="00E34DB5" w:rsidP="00E34DB5">
      <w:pPr>
        <w:spacing w:before="120" w:after="120" w:line="300" w:lineRule="auto"/>
        <w:jc w:val="both"/>
        <w:rPr>
          <w:rStyle w:val="apple-style-span"/>
          <w:color w:val="auto"/>
          <w:lang w:val="en-US"/>
        </w:rPr>
      </w:pPr>
      <w:r w:rsidRPr="00E34DB5">
        <w:rPr>
          <w:rStyle w:val="apple-style-span"/>
          <w:color w:val="auto"/>
          <w:lang w:val="en-US"/>
        </w:rPr>
        <w:t xml:space="preserve">The time frame for the Strategic Environmental Assessment was determined by the description of the development trend related to the expected state of the environment, and the possible impacts on the environmental issues. </w:t>
      </w:r>
    </w:p>
    <w:p w:rsidR="00E34DB5" w:rsidRPr="00E34DB5" w:rsidRDefault="00E34DB5" w:rsidP="00E34DB5">
      <w:pPr>
        <w:spacing w:before="120" w:after="120" w:line="300" w:lineRule="auto"/>
        <w:jc w:val="both"/>
        <w:rPr>
          <w:rStyle w:val="apple-style-span"/>
          <w:color w:val="auto"/>
          <w:lang w:val="en-US"/>
        </w:rPr>
      </w:pPr>
      <w:r w:rsidRPr="00E34DB5">
        <w:rPr>
          <w:rStyle w:val="apple-style-span"/>
          <w:color w:val="auto"/>
          <w:lang w:val="en-US"/>
        </w:rPr>
        <w:t>The time frame for the development trends related to the expected state of the environment and the possible impacts on environmental issues - is the programming period 2014-2020 plus two years.</w:t>
      </w:r>
    </w:p>
    <w:p w:rsidR="00E34DB5" w:rsidRPr="00E34DB5" w:rsidRDefault="00E34DB5" w:rsidP="00E34DB5">
      <w:pPr>
        <w:spacing w:before="120" w:after="120" w:line="300" w:lineRule="auto"/>
        <w:jc w:val="both"/>
        <w:rPr>
          <w:rStyle w:val="apple-style-span"/>
          <w:color w:val="auto"/>
          <w:lang w:val="en-US"/>
        </w:rPr>
      </w:pPr>
      <w:r w:rsidRPr="00E34DB5">
        <w:rPr>
          <w:rStyle w:val="apple-style-span"/>
          <w:color w:val="auto"/>
          <w:lang w:val="en-US"/>
        </w:rPr>
        <w:t xml:space="preserve">The SEA process of the HUSKROUA ENI CBC </w:t>
      </w:r>
      <w:proofErr w:type="spellStart"/>
      <w:r w:rsidRPr="00E34DB5">
        <w:rPr>
          <w:rStyle w:val="apple-style-span"/>
          <w:color w:val="auto"/>
          <w:lang w:val="en-US"/>
        </w:rPr>
        <w:t>Programme</w:t>
      </w:r>
      <w:proofErr w:type="spellEnd"/>
      <w:r w:rsidRPr="00E34DB5">
        <w:rPr>
          <w:rStyle w:val="apple-style-span"/>
          <w:color w:val="auto"/>
          <w:lang w:val="en-US"/>
        </w:rPr>
        <w:t xml:space="preserve"> 2014-2020 started in parallel with the elaboration of the </w:t>
      </w:r>
      <w:proofErr w:type="spellStart"/>
      <w:r w:rsidRPr="00E34DB5">
        <w:rPr>
          <w:rStyle w:val="apple-style-span"/>
          <w:color w:val="auto"/>
          <w:lang w:val="en-US"/>
        </w:rPr>
        <w:t>programme</w:t>
      </w:r>
      <w:proofErr w:type="spellEnd"/>
      <w:r w:rsidRPr="00E34DB5">
        <w:rPr>
          <w:rStyle w:val="apple-style-span"/>
          <w:color w:val="auto"/>
          <w:lang w:val="en-US"/>
        </w:rPr>
        <w:t xml:space="preserve"> document, and according to the planned timing, it will be completed before its adoption. The whole Strategic Environmental Assessment process started in December 2014 and planned to be finalized after the consultation of the Environmental Report in all partner countries.</w:t>
      </w:r>
    </w:p>
    <w:p w:rsidR="00E34DB5" w:rsidRPr="00E34DB5" w:rsidRDefault="00E34DB5" w:rsidP="001F7A55">
      <w:pPr>
        <w:spacing w:before="120" w:after="120" w:line="300" w:lineRule="auto"/>
        <w:jc w:val="both"/>
        <w:rPr>
          <w:rStyle w:val="apple-style-span"/>
          <w:b/>
          <w:color w:val="auto"/>
          <w:lang w:val="en-US"/>
        </w:rPr>
      </w:pPr>
      <w:r w:rsidRPr="00E34DB5">
        <w:rPr>
          <w:rStyle w:val="apple-style-span"/>
          <w:b/>
          <w:color w:val="auto"/>
          <w:lang w:val="en-US"/>
        </w:rPr>
        <w:t xml:space="preserve">The outline of the content of the </w:t>
      </w:r>
      <w:proofErr w:type="spellStart"/>
      <w:r w:rsidRPr="00E34DB5">
        <w:rPr>
          <w:rStyle w:val="apple-style-span"/>
          <w:b/>
          <w:color w:val="auto"/>
          <w:lang w:val="en-US"/>
        </w:rPr>
        <w:t>Programme</w:t>
      </w:r>
      <w:proofErr w:type="spellEnd"/>
      <w:r w:rsidRPr="00E34DB5">
        <w:rPr>
          <w:rStyle w:val="apple-style-span"/>
          <w:b/>
          <w:color w:val="auto"/>
          <w:lang w:val="en-US"/>
        </w:rPr>
        <w:t>:</w:t>
      </w:r>
    </w:p>
    <w:p w:rsidR="00E34DB5" w:rsidRPr="0008594F" w:rsidRDefault="00E34DB5" w:rsidP="00E34DB5">
      <w:pPr>
        <w:spacing w:before="120" w:after="120" w:line="300" w:lineRule="auto"/>
        <w:rPr>
          <w:rFonts w:ascii="Calibri" w:hAnsi="Calibri"/>
          <w:color w:val="000000"/>
          <w:lang w:val="en-US"/>
        </w:rPr>
      </w:pPr>
      <w:r w:rsidRPr="0008594F">
        <w:rPr>
          <w:rFonts w:ascii="Calibri" w:hAnsi="Calibri"/>
          <w:color w:val="000000"/>
          <w:lang w:val="en-US"/>
        </w:rPr>
        <w:t xml:space="preserve">The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strategy involves the following thematic objectives</w:t>
      </w:r>
      <w:r w:rsidRPr="0008594F">
        <w:rPr>
          <w:rStyle w:val="Lbjegyzet-hivatkozs"/>
          <w:rFonts w:ascii="Calibri" w:hAnsi="Calibri"/>
          <w:color w:val="000000"/>
          <w:lang w:val="en-US"/>
        </w:rPr>
        <w:footnoteReference w:id="1"/>
      </w:r>
      <w:r w:rsidRPr="0008594F">
        <w:rPr>
          <w:rFonts w:ascii="Calibri" w:hAnsi="Calibri"/>
          <w:color w:val="000000"/>
          <w:lang w:val="en-US"/>
        </w:rPr>
        <w:t>:</w:t>
      </w:r>
    </w:p>
    <w:p w:rsidR="00E34DB5" w:rsidRPr="0008594F" w:rsidRDefault="00E34DB5" w:rsidP="00E34DB5">
      <w:pPr>
        <w:pStyle w:val="Listaszerbekezds"/>
        <w:numPr>
          <w:ilvl w:val="0"/>
          <w:numId w:val="4"/>
        </w:numPr>
        <w:spacing w:before="120" w:after="120" w:line="300" w:lineRule="auto"/>
        <w:jc w:val="both"/>
        <w:rPr>
          <w:rStyle w:val="apple-style-span"/>
          <w:color w:val="auto"/>
          <w:lang w:val="en-US"/>
        </w:rPr>
      </w:pPr>
      <w:r w:rsidRPr="0008594F">
        <w:rPr>
          <w:rStyle w:val="apple-style-span"/>
          <w:color w:val="auto"/>
          <w:lang w:val="en-US"/>
        </w:rPr>
        <w:t>TO 3 Promotion of local culture and preservation of historical heritage</w:t>
      </w:r>
    </w:p>
    <w:p w:rsidR="00E34DB5" w:rsidRPr="0008594F" w:rsidRDefault="00E34DB5" w:rsidP="00E34DB5">
      <w:pPr>
        <w:pStyle w:val="Listaszerbekezds"/>
        <w:numPr>
          <w:ilvl w:val="0"/>
          <w:numId w:val="4"/>
        </w:numPr>
        <w:spacing w:before="120" w:after="120" w:line="300" w:lineRule="auto"/>
        <w:jc w:val="both"/>
        <w:rPr>
          <w:rStyle w:val="apple-style-span"/>
          <w:color w:val="auto"/>
          <w:lang w:val="en-US"/>
        </w:rPr>
      </w:pPr>
      <w:r w:rsidRPr="0008594F">
        <w:rPr>
          <w:rStyle w:val="apple-style-span"/>
          <w:color w:val="auto"/>
          <w:lang w:val="en-US"/>
        </w:rPr>
        <w:t>TO 6 Environmental protection, climate change mitigation and adaptation</w:t>
      </w:r>
    </w:p>
    <w:p w:rsidR="00E34DB5" w:rsidRPr="0008594F" w:rsidRDefault="00E34DB5" w:rsidP="00E34DB5">
      <w:pPr>
        <w:pStyle w:val="Listaszerbekezds"/>
        <w:numPr>
          <w:ilvl w:val="0"/>
          <w:numId w:val="4"/>
        </w:numPr>
        <w:spacing w:before="120" w:after="120" w:line="300" w:lineRule="auto"/>
        <w:jc w:val="both"/>
        <w:rPr>
          <w:rStyle w:val="apple-style-span"/>
          <w:color w:val="auto"/>
          <w:lang w:val="en-US"/>
        </w:rPr>
      </w:pPr>
      <w:r w:rsidRPr="0008594F">
        <w:rPr>
          <w:rStyle w:val="apple-style-span"/>
          <w:color w:val="auto"/>
          <w:lang w:val="en-US"/>
        </w:rPr>
        <w:t xml:space="preserve">TO 7 Improvement of accessibility to the regions, development of sustainable and climate-proof transport and communication networks and systems </w:t>
      </w:r>
    </w:p>
    <w:p w:rsidR="00E34DB5" w:rsidRPr="0008594F" w:rsidRDefault="00E34DB5" w:rsidP="00E34DB5">
      <w:pPr>
        <w:pStyle w:val="Listaszerbekezds"/>
        <w:numPr>
          <w:ilvl w:val="0"/>
          <w:numId w:val="4"/>
        </w:numPr>
        <w:spacing w:before="120" w:after="120" w:line="300" w:lineRule="auto"/>
        <w:jc w:val="both"/>
        <w:rPr>
          <w:rStyle w:val="apple-style-span"/>
          <w:color w:val="auto"/>
          <w:lang w:val="en-US"/>
        </w:rPr>
      </w:pPr>
      <w:r w:rsidRPr="0008594F">
        <w:rPr>
          <w:rStyle w:val="apple-style-span"/>
          <w:color w:val="auto"/>
          <w:lang w:val="en-US"/>
        </w:rPr>
        <w:t>TO 8 Common challenges in the field of safety and security</w:t>
      </w:r>
    </w:p>
    <w:p w:rsidR="00E34DB5" w:rsidRPr="0008594F" w:rsidRDefault="00E34DB5" w:rsidP="00E34DB5">
      <w:pPr>
        <w:spacing w:before="120" w:after="120" w:line="300" w:lineRule="auto"/>
        <w:rPr>
          <w:rFonts w:ascii="Calibri" w:hAnsi="Calibri"/>
          <w:color w:val="000000"/>
          <w:lang w:val="en-US"/>
        </w:rPr>
      </w:pPr>
      <w:r w:rsidRPr="0008594F">
        <w:rPr>
          <w:rFonts w:ascii="Calibri" w:hAnsi="Calibri"/>
          <w:color w:val="000000"/>
          <w:lang w:val="en-US"/>
        </w:rPr>
        <w:t>The selected thematic objectives comprise of the following objectives and types of actions</w:t>
      </w:r>
      <w:r w:rsidRPr="0008594F">
        <w:rPr>
          <w:rStyle w:val="Lbjegyzet-hivatkozs"/>
          <w:rFonts w:ascii="Calibri" w:hAnsi="Calibri"/>
          <w:color w:val="000000"/>
          <w:lang w:val="en-US"/>
        </w:rPr>
        <w:footnoteReference w:id="2"/>
      </w:r>
      <w:r w:rsidRPr="0008594F">
        <w:rPr>
          <w:rFonts w:ascii="Calibri" w:hAnsi="Calibri"/>
          <w:color w:val="000000"/>
          <w:lang w:val="en-US"/>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1526"/>
        <w:gridCol w:w="1701"/>
        <w:gridCol w:w="1843"/>
        <w:gridCol w:w="4142"/>
      </w:tblGrid>
      <w:tr w:rsidR="00E34DB5" w:rsidRPr="0008594F" w:rsidTr="00BA7240">
        <w:tc>
          <w:tcPr>
            <w:tcW w:w="1526" w:type="dxa"/>
            <w:shd w:val="clear" w:color="auto" w:fill="548DD4"/>
          </w:tcPr>
          <w:p w:rsidR="00E34DB5" w:rsidRPr="008974F9" w:rsidRDefault="00E34DB5" w:rsidP="00BA7240">
            <w:pPr>
              <w:spacing w:before="120" w:after="120" w:line="300" w:lineRule="auto"/>
              <w:rPr>
                <w:rFonts w:ascii="Calibri" w:hAnsi="Calibri"/>
                <w:b/>
                <w:color w:val="FFFFFF"/>
                <w:sz w:val="20"/>
                <w:szCs w:val="20"/>
                <w:lang w:val="en-US"/>
              </w:rPr>
            </w:pPr>
            <w:r w:rsidRPr="008974F9">
              <w:rPr>
                <w:rFonts w:ascii="Calibri" w:hAnsi="Calibri"/>
                <w:b/>
                <w:color w:val="FFFFFF"/>
                <w:sz w:val="20"/>
                <w:szCs w:val="20"/>
                <w:lang w:val="en-US"/>
              </w:rPr>
              <w:t>Thematic objective</w:t>
            </w:r>
          </w:p>
        </w:tc>
        <w:tc>
          <w:tcPr>
            <w:tcW w:w="1701" w:type="dxa"/>
            <w:shd w:val="clear" w:color="auto" w:fill="548DD4"/>
          </w:tcPr>
          <w:p w:rsidR="00E34DB5" w:rsidRPr="008974F9" w:rsidRDefault="00E34DB5" w:rsidP="00BA7240">
            <w:pPr>
              <w:spacing w:before="120" w:after="120" w:line="300" w:lineRule="auto"/>
              <w:rPr>
                <w:rFonts w:ascii="Calibri" w:hAnsi="Calibri"/>
                <w:b/>
                <w:color w:val="FFFFFF"/>
                <w:sz w:val="20"/>
                <w:szCs w:val="20"/>
                <w:lang w:val="en-US"/>
              </w:rPr>
            </w:pPr>
            <w:r w:rsidRPr="008974F9">
              <w:rPr>
                <w:rFonts w:ascii="Calibri" w:hAnsi="Calibri"/>
                <w:b/>
                <w:color w:val="FFFFFF"/>
                <w:sz w:val="20"/>
                <w:szCs w:val="20"/>
                <w:lang w:val="en-US"/>
              </w:rPr>
              <w:t>Priority</w:t>
            </w:r>
          </w:p>
        </w:tc>
        <w:tc>
          <w:tcPr>
            <w:tcW w:w="1843" w:type="dxa"/>
            <w:shd w:val="clear" w:color="auto" w:fill="548DD4"/>
          </w:tcPr>
          <w:p w:rsidR="00E34DB5" w:rsidRPr="008974F9" w:rsidRDefault="00E34DB5" w:rsidP="00BA7240">
            <w:pPr>
              <w:spacing w:before="120" w:after="120" w:line="300" w:lineRule="auto"/>
              <w:rPr>
                <w:rFonts w:ascii="Calibri" w:hAnsi="Calibri"/>
                <w:b/>
                <w:color w:val="FFFFFF"/>
                <w:sz w:val="20"/>
                <w:szCs w:val="20"/>
                <w:lang w:val="en-US"/>
              </w:rPr>
            </w:pPr>
            <w:r w:rsidRPr="008974F9">
              <w:rPr>
                <w:rFonts w:ascii="Calibri" w:hAnsi="Calibri"/>
                <w:b/>
                <w:color w:val="FFFFFF"/>
                <w:sz w:val="20"/>
                <w:szCs w:val="20"/>
                <w:lang w:val="en-US"/>
              </w:rPr>
              <w:t>The objectives of the priority</w:t>
            </w:r>
          </w:p>
        </w:tc>
        <w:tc>
          <w:tcPr>
            <w:tcW w:w="4142" w:type="dxa"/>
            <w:shd w:val="clear" w:color="auto" w:fill="548DD4"/>
          </w:tcPr>
          <w:p w:rsidR="00E34DB5" w:rsidRPr="008974F9" w:rsidRDefault="00E34DB5" w:rsidP="00BA7240">
            <w:pPr>
              <w:spacing w:before="120" w:after="120" w:line="300" w:lineRule="auto"/>
              <w:rPr>
                <w:rFonts w:ascii="Calibri" w:hAnsi="Calibri"/>
                <w:b/>
                <w:color w:val="FFFFFF"/>
                <w:sz w:val="20"/>
                <w:szCs w:val="20"/>
                <w:lang w:val="en-US"/>
              </w:rPr>
            </w:pPr>
            <w:r w:rsidRPr="008974F9">
              <w:rPr>
                <w:rFonts w:ascii="Calibri" w:hAnsi="Calibri"/>
                <w:b/>
                <w:color w:val="FFFFFF"/>
                <w:sz w:val="20"/>
                <w:szCs w:val="20"/>
                <w:lang w:val="en-US"/>
              </w:rPr>
              <w:t>Types of actions</w:t>
            </w:r>
          </w:p>
        </w:tc>
      </w:tr>
      <w:tr w:rsidR="00E34DB5" w:rsidRPr="0008594F" w:rsidTr="00BA7240">
        <w:tc>
          <w:tcPr>
            <w:tcW w:w="1526"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 xml:space="preserve">TO3 Promotion </w:t>
            </w:r>
            <w:r w:rsidRPr="008974F9">
              <w:rPr>
                <w:rFonts w:ascii="Calibri" w:hAnsi="Calibri"/>
                <w:color w:val="auto"/>
                <w:sz w:val="20"/>
                <w:szCs w:val="20"/>
                <w:lang w:val="en-US"/>
              </w:rPr>
              <w:lastRenderedPageBreak/>
              <w:t>of local culture and preservation of historical heritage</w:t>
            </w:r>
          </w:p>
        </w:tc>
        <w:tc>
          <w:tcPr>
            <w:tcW w:w="1701"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lastRenderedPageBreak/>
              <w:t xml:space="preserve">Priority 1: </w:t>
            </w:r>
            <w:r w:rsidRPr="008974F9">
              <w:rPr>
                <w:rFonts w:ascii="Calibri" w:hAnsi="Calibri"/>
                <w:color w:val="auto"/>
                <w:sz w:val="20"/>
                <w:szCs w:val="20"/>
                <w:lang w:val="en-US"/>
              </w:rPr>
              <w:lastRenderedPageBreak/>
              <w:t>Promoting local culture and history along with tourism functions</w:t>
            </w:r>
          </w:p>
        </w:tc>
        <w:tc>
          <w:tcPr>
            <w:tcW w:w="1843"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lastRenderedPageBreak/>
              <w:t xml:space="preserve">To develop the </w:t>
            </w:r>
            <w:r w:rsidRPr="008974F9">
              <w:rPr>
                <w:rFonts w:ascii="Calibri" w:hAnsi="Calibri"/>
                <w:color w:val="auto"/>
                <w:sz w:val="20"/>
                <w:szCs w:val="20"/>
                <w:lang w:val="en-US"/>
              </w:rPr>
              <w:lastRenderedPageBreak/>
              <w:t>eligible area as a joint tourism destination based on its cultural, historical, religious values with the preservation of historical buildings</w:t>
            </w:r>
          </w:p>
        </w:tc>
        <w:tc>
          <w:tcPr>
            <w:tcW w:w="4142" w:type="dxa"/>
            <w:shd w:val="clear" w:color="auto" w:fill="D9D9D9"/>
          </w:tcPr>
          <w:p w:rsidR="00E34DB5" w:rsidRPr="008974F9" w:rsidRDefault="00E34DB5" w:rsidP="00BA7240">
            <w:pPr>
              <w:spacing w:after="0" w:line="240" w:lineRule="auto"/>
              <w:rPr>
                <w:rFonts w:ascii="Calibri" w:hAnsi="Calibri"/>
                <w:color w:val="auto"/>
                <w:sz w:val="20"/>
                <w:szCs w:val="20"/>
                <w:lang w:val="en-US"/>
              </w:rPr>
            </w:pPr>
            <w:r w:rsidRPr="008974F9">
              <w:rPr>
                <w:rFonts w:ascii="Calibri" w:hAnsi="Calibri"/>
                <w:color w:val="auto"/>
                <w:sz w:val="20"/>
                <w:szCs w:val="20"/>
                <w:lang w:val="en-US"/>
              </w:rPr>
              <w:lastRenderedPageBreak/>
              <w:t xml:space="preserve">Preservation of historical heritage includes the </w:t>
            </w:r>
            <w:r w:rsidRPr="008974F9">
              <w:rPr>
                <w:rFonts w:ascii="Calibri" w:hAnsi="Calibri"/>
                <w:color w:val="auto"/>
                <w:sz w:val="20"/>
                <w:szCs w:val="20"/>
                <w:lang w:val="en-US"/>
              </w:rPr>
              <w:lastRenderedPageBreak/>
              <w:t>following types of actions: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Preservation and restoration of historical buildings in accordance with monument restoration requirements.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Surveys on buildings of cultural, historical and religious heritage.</w:t>
            </w:r>
          </w:p>
          <w:p w:rsidR="00E34DB5" w:rsidRPr="008974F9" w:rsidRDefault="00E34DB5" w:rsidP="00BA7240">
            <w:pPr>
              <w:spacing w:after="0" w:line="240" w:lineRule="auto"/>
              <w:rPr>
                <w:rFonts w:ascii="Calibri" w:hAnsi="Calibri"/>
                <w:color w:val="auto"/>
                <w:sz w:val="20"/>
                <w:szCs w:val="20"/>
                <w:lang w:val="en-US"/>
              </w:rPr>
            </w:pPr>
            <w:r w:rsidRPr="008974F9">
              <w:rPr>
                <w:rFonts w:ascii="Calibri" w:hAnsi="Calibri"/>
                <w:color w:val="auto"/>
                <w:sz w:val="20"/>
                <w:szCs w:val="20"/>
                <w:lang w:val="en-US"/>
              </w:rPr>
              <w:t>Tourism services include the following types of actions: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Development of touristic destinations, thematic routes connecting historical cultural or religious heritage sites.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Promotion activities and information provision on routes and attractions (including the development of maps, online information sources, information materials, signs, etc.).</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Organization of joint cultural events with cross-border added value linked to historical heritage.</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 xml:space="preserve">Support of the production of traditional local (handicraft, (organic) agricultural) products at touristic sites. </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Creating cross-border standard of services.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Exchange of experiences among organizations related to cultural religious and historic heritage.</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Training for locals in tourism, cooperation, promotion and networking.</w:t>
            </w:r>
          </w:p>
        </w:tc>
      </w:tr>
      <w:tr w:rsidR="00E34DB5" w:rsidRPr="0008594F" w:rsidTr="00BA7240">
        <w:tc>
          <w:tcPr>
            <w:tcW w:w="1526" w:type="dxa"/>
            <w:vMerge w:val="restart"/>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lastRenderedPageBreak/>
              <w:t>TO 6 Environmental protection, climate change mitigation and adaptation</w:t>
            </w:r>
          </w:p>
        </w:tc>
        <w:tc>
          <w:tcPr>
            <w:tcW w:w="1701"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Priority 1: Support of sustainable waste and wastewater management systems</w:t>
            </w:r>
          </w:p>
        </w:tc>
        <w:tc>
          <w:tcPr>
            <w:tcW w:w="1843"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To support the solution of wastewater and solid waste caused environmental damages with cross border effect. The focus areas are especially the river valleys crossing the border with risk of contamination.</w:t>
            </w:r>
          </w:p>
        </w:tc>
        <w:tc>
          <w:tcPr>
            <w:tcW w:w="4142" w:type="dxa"/>
            <w:shd w:val="clear" w:color="auto" w:fill="D9D9D9"/>
          </w:tcPr>
          <w:p w:rsidR="00E34DB5" w:rsidRPr="008974F9" w:rsidRDefault="00E34DB5" w:rsidP="00BA7240">
            <w:pPr>
              <w:spacing w:after="0" w:line="240" w:lineRule="auto"/>
              <w:rPr>
                <w:rFonts w:ascii="Calibri" w:hAnsi="Calibri"/>
                <w:color w:val="auto"/>
                <w:sz w:val="20"/>
                <w:szCs w:val="20"/>
                <w:lang w:val="en-US"/>
              </w:rPr>
            </w:pPr>
            <w:r w:rsidRPr="008974F9">
              <w:rPr>
                <w:rFonts w:ascii="Calibri" w:hAnsi="Calibri"/>
                <w:color w:val="auto"/>
                <w:sz w:val="20"/>
                <w:szCs w:val="20"/>
                <w:lang w:val="en-US"/>
              </w:rPr>
              <w:t>Types of actions related to wastewater treatment:</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Sharing of best practices, setting up of small scale pilot systems.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Surveys on water quality problems of river basins crossing the border.</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Setting up of water quality monitoring systems.</w:t>
            </w:r>
          </w:p>
          <w:p w:rsidR="00E34DB5" w:rsidRPr="008974F9" w:rsidRDefault="00E34DB5" w:rsidP="00BA7240">
            <w:pPr>
              <w:spacing w:after="0" w:line="240" w:lineRule="auto"/>
              <w:rPr>
                <w:rFonts w:ascii="Calibri" w:hAnsi="Calibri"/>
                <w:color w:val="auto"/>
                <w:sz w:val="20"/>
                <w:szCs w:val="20"/>
                <w:lang w:val="en-US"/>
              </w:rPr>
            </w:pPr>
            <w:r w:rsidRPr="008974F9">
              <w:rPr>
                <w:rFonts w:ascii="Calibri" w:hAnsi="Calibri"/>
                <w:color w:val="auto"/>
                <w:sz w:val="20"/>
                <w:szCs w:val="20"/>
                <w:lang w:val="en-US"/>
              </w:rPr>
              <w:t>Types of actions related to waste management:</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Awareness campaigns.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000000"/>
                <w:lang w:val="en-US" w:eastAsia="en-US"/>
              </w:rPr>
            </w:pPr>
            <w:r w:rsidRPr="0001639D">
              <w:rPr>
                <w:rFonts w:ascii="Calibri" w:hAnsi="Calibri"/>
                <w:color w:val="auto"/>
                <w:lang w:val="en-US" w:eastAsia="en-US"/>
              </w:rPr>
              <w:t>Sharing of best practices, setting up small scale pilot systems.</w:t>
            </w:r>
          </w:p>
        </w:tc>
      </w:tr>
      <w:tr w:rsidR="00E34DB5" w:rsidRPr="0008594F" w:rsidTr="00BA7240">
        <w:tc>
          <w:tcPr>
            <w:tcW w:w="1526" w:type="dxa"/>
            <w:vMerge/>
            <w:shd w:val="clear" w:color="auto" w:fill="D9D9D9"/>
          </w:tcPr>
          <w:p w:rsidR="00E34DB5" w:rsidRPr="008974F9" w:rsidRDefault="00E34DB5" w:rsidP="00BA7240">
            <w:pPr>
              <w:spacing w:before="120" w:after="120" w:line="300" w:lineRule="auto"/>
              <w:rPr>
                <w:rFonts w:ascii="Calibri" w:hAnsi="Calibri"/>
                <w:color w:val="000000"/>
                <w:sz w:val="20"/>
                <w:szCs w:val="20"/>
                <w:lang w:val="en-US"/>
              </w:rPr>
            </w:pPr>
          </w:p>
        </w:tc>
        <w:tc>
          <w:tcPr>
            <w:tcW w:w="1701"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Priority 2: Preservation and sustainable use of natural resources</w:t>
            </w:r>
          </w:p>
        </w:tc>
        <w:tc>
          <w:tcPr>
            <w:tcW w:w="1843"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 xml:space="preserve">To initiate actions for the sustainable use of natural values passing over state borders of the </w:t>
            </w:r>
            <w:r w:rsidRPr="008974F9">
              <w:rPr>
                <w:rFonts w:ascii="Calibri" w:hAnsi="Calibri"/>
                <w:color w:val="auto"/>
                <w:sz w:val="20"/>
                <w:szCs w:val="20"/>
                <w:lang w:val="en-US"/>
              </w:rPr>
              <w:lastRenderedPageBreak/>
              <w:t>border area.</w:t>
            </w:r>
          </w:p>
        </w:tc>
        <w:tc>
          <w:tcPr>
            <w:tcW w:w="4142" w:type="dxa"/>
            <w:shd w:val="clear" w:color="auto" w:fill="D9D9D9"/>
          </w:tcPr>
          <w:p w:rsidR="00E34DB5" w:rsidRPr="008974F9" w:rsidRDefault="00E34DB5" w:rsidP="00BA7240">
            <w:pPr>
              <w:spacing w:after="0" w:line="240" w:lineRule="auto"/>
              <w:rPr>
                <w:rFonts w:ascii="Calibri" w:hAnsi="Calibri"/>
                <w:color w:val="auto"/>
                <w:sz w:val="20"/>
                <w:szCs w:val="20"/>
                <w:lang w:val="en-US"/>
              </w:rPr>
            </w:pPr>
            <w:r w:rsidRPr="008974F9">
              <w:rPr>
                <w:rFonts w:ascii="Calibri" w:hAnsi="Calibri"/>
                <w:color w:val="auto"/>
                <w:sz w:val="20"/>
                <w:szCs w:val="20"/>
                <w:lang w:val="en-US"/>
              </w:rPr>
              <w:lastRenderedPageBreak/>
              <w:t>Types of intervention are:</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Development of natural parks and forestry management systems with cross border effect.</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Protection of landscape, biodiversity and eco-systems.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lastRenderedPageBreak/>
              <w:t>Protection of water resources.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 xml:space="preserve">Joint ecological education </w:t>
            </w:r>
            <w:proofErr w:type="spellStart"/>
            <w:r w:rsidRPr="0001639D">
              <w:rPr>
                <w:rFonts w:ascii="Calibri" w:hAnsi="Calibri"/>
                <w:color w:val="auto"/>
                <w:lang w:val="en-US" w:eastAsia="en-US"/>
              </w:rPr>
              <w:t>programmes</w:t>
            </w:r>
            <w:proofErr w:type="spellEnd"/>
            <w:r w:rsidRPr="0001639D">
              <w:rPr>
                <w:rFonts w:ascii="Calibri" w:hAnsi="Calibri"/>
                <w:color w:val="auto"/>
                <w:lang w:val="en-US" w:eastAsia="en-US"/>
              </w:rPr>
              <w:t>.</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Co-operation between institutions, authorities and civil organizations for the sustainable use of natural resources.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 xml:space="preserve">Harmonization of relevant regulations. </w:t>
            </w:r>
          </w:p>
        </w:tc>
      </w:tr>
      <w:tr w:rsidR="00E34DB5" w:rsidRPr="0008594F" w:rsidTr="00BA7240">
        <w:tc>
          <w:tcPr>
            <w:tcW w:w="1526" w:type="dxa"/>
            <w:vMerge/>
            <w:shd w:val="clear" w:color="auto" w:fill="D9D9D9"/>
          </w:tcPr>
          <w:p w:rsidR="00E34DB5" w:rsidRPr="008974F9" w:rsidRDefault="00E34DB5" w:rsidP="00BA7240">
            <w:pPr>
              <w:spacing w:before="120" w:after="120" w:line="300" w:lineRule="auto"/>
              <w:rPr>
                <w:rFonts w:ascii="Calibri" w:hAnsi="Calibri"/>
                <w:color w:val="000000"/>
                <w:sz w:val="20"/>
                <w:szCs w:val="20"/>
                <w:lang w:val="en-US"/>
              </w:rPr>
            </w:pPr>
          </w:p>
        </w:tc>
        <w:tc>
          <w:tcPr>
            <w:tcW w:w="1701"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Priority 3: Support to energy efficiency and the use of renewable energy resources</w:t>
            </w:r>
          </w:p>
        </w:tc>
        <w:tc>
          <w:tcPr>
            <w:tcW w:w="1843" w:type="dxa"/>
            <w:shd w:val="clear" w:color="auto" w:fill="D9D9D9"/>
          </w:tcPr>
          <w:p w:rsidR="00E34DB5" w:rsidRPr="008974F9" w:rsidRDefault="00E34DB5" w:rsidP="00BA7240">
            <w:pPr>
              <w:spacing w:before="120" w:after="120" w:line="300" w:lineRule="auto"/>
              <w:rPr>
                <w:rFonts w:ascii="Calibri" w:hAnsi="Calibri"/>
                <w:color w:val="000000"/>
                <w:sz w:val="20"/>
                <w:szCs w:val="20"/>
                <w:lang w:val="en-US"/>
              </w:rPr>
            </w:pPr>
            <w:r w:rsidRPr="008974F9">
              <w:rPr>
                <w:rFonts w:ascii="Calibri" w:hAnsi="Calibri"/>
                <w:color w:val="auto"/>
                <w:sz w:val="20"/>
                <w:szCs w:val="20"/>
                <w:lang w:val="en-US"/>
              </w:rPr>
              <w:t>To increase the energy efficiency of buildings, industrial and agricultural production in the border region and increase competences in the use of renewable energy sources.</w:t>
            </w:r>
          </w:p>
        </w:tc>
        <w:tc>
          <w:tcPr>
            <w:tcW w:w="4142" w:type="dxa"/>
            <w:shd w:val="clear" w:color="auto" w:fill="D9D9D9"/>
          </w:tcPr>
          <w:p w:rsidR="00E34DB5" w:rsidRPr="008974F9" w:rsidRDefault="00E34DB5" w:rsidP="00BA7240">
            <w:pPr>
              <w:spacing w:after="0" w:line="240" w:lineRule="auto"/>
              <w:rPr>
                <w:rFonts w:ascii="Calibri" w:hAnsi="Calibri"/>
                <w:color w:val="auto"/>
                <w:sz w:val="20"/>
                <w:szCs w:val="20"/>
                <w:lang w:val="en-US"/>
              </w:rPr>
            </w:pPr>
            <w:r w:rsidRPr="008974F9">
              <w:rPr>
                <w:rFonts w:ascii="Calibri" w:hAnsi="Calibri"/>
                <w:color w:val="auto"/>
                <w:sz w:val="20"/>
                <w:szCs w:val="20"/>
                <w:lang w:val="en-US"/>
              </w:rPr>
              <w:t>Types of actions in the frame of the priority:</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Promotion of measures to increase energy efficiency, energy savings and recycling.</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Elaboration of joint low-carbon strategies.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Exchange of best practices and expertise, study tours, education on energy efficiency.</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Strengthening competences and skills in the fields of eco-innovation and for low-carbon solutions.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000000"/>
                <w:lang w:val="en-US" w:eastAsia="en-US"/>
              </w:rPr>
            </w:pPr>
            <w:r w:rsidRPr="0001639D">
              <w:rPr>
                <w:rFonts w:ascii="Calibri" w:hAnsi="Calibri"/>
                <w:color w:val="auto"/>
                <w:lang w:val="en-US" w:eastAsia="en-US"/>
              </w:rPr>
              <w:t>Harmonization of local renewable energy production strategies for biomass, water and geothermal.</w:t>
            </w:r>
          </w:p>
        </w:tc>
      </w:tr>
      <w:tr w:rsidR="00E34DB5" w:rsidRPr="0008594F" w:rsidTr="00BA7240">
        <w:tc>
          <w:tcPr>
            <w:tcW w:w="1526" w:type="dxa"/>
            <w:vMerge w:val="restart"/>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TO 7 Improvement of accessibility to the regions, development of sustainable and climate-proof transport and communication networks and systems</w:t>
            </w:r>
          </w:p>
        </w:tc>
        <w:tc>
          <w:tcPr>
            <w:tcW w:w="1701"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Priority 1: Development of transport infrastructure to improve the mobility of persons and goods</w:t>
            </w:r>
          </w:p>
        </w:tc>
        <w:tc>
          <w:tcPr>
            <w:tcW w:w="1843"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To improve the mobility of persons and goods, create the basis of economic co-operations and reduce the disparities of regions via the development of transport infrastructure and services.</w:t>
            </w:r>
          </w:p>
        </w:tc>
        <w:tc>
          <w:tcPr>
            <w:tcW w:w="4142" w:type="dxa"/>
            <w:shd w:val="clear" w:color="auto" w:fill="D9D9D9"/>
          </w:tcPr>
          <w:p w:rsidR="00E34DB5" w:rsidRPr="008974F9" w:rsidRDefault="00E34DB5" w:rsidP="00BA7240">
            <w:pPr>
              <w:spacing w:after="0" w:line="240" w:lineRule="auto"/>
              <w:rPr>
                <w:rFonts w:ascii="Calibri" w:hAnsi="Calibri"/>
                <w:color w:val="auto"/>
                <w:sz w:val="20"/>
                <w:szCs w:val="20"/>
                <w:lang w:val="en-US"/>
              </w:rPr>
            </w:pPr>
            <w:r w:rsidRPr="008974F9">
              <w:rPr>
                <w:rFonts w:ascii="Calibri" w:hAnsi="Calibri"/>
                <w:color w:val="auto"/>
                <w:sz w:val="20"/>
                <w:szCs w:val="20"/>
                <w:lang w:val="en-US"/>
              </w:rPr>
              <w:t>Types of actions in the frame of the priority:</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 xml:space="preserve">Building, modernization and upgrading of roads leading to and crossing the border to improve the opportunities for </w:t>
            </w:r>
            <w:proofErr w:type="spellStart"/>
            <w:r w:rsidRPr="0001639D">
              <w:rPr>
                <w:rFonts w:ascii="Calibri" w:hAnsi="Calibri"/>
                <w:color w:val="auto"/>
                <w:lang w:val="en-US" w:eastAsia="en-US"/>
              </w:rPr>
              <w:t>transboundary</w:t>
            </w:r>
            <w:proofErr w:type="spellEnd"/>
            <w:r w:rsidRPr="0001639D">
              <w:rPr>
                <w:rFonts w:ascii="Calibri" w:hAnsi="Calibri"/>
                <w:color w:val="auto"/>
                <w:lang w:val="en-US" w:eastAsia="en-US"/>
              </w:rPr>
              <w:t xml:space="preserve"> mobility.</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Building, modernization and upgrading of bicycle paths, routes leading to and crossing the border.</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Development of cross-border public transport initiatives, harmonization of systems.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Awareness-raising activity regarding the importance of environment-friendly transport system (low emission and low noise forms of cross-border transport).</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Development of IT solutions for public transport facilities.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Elaboration of recommendations concerning legal administrative bottlenecks hampering cross-border mobility.</w:t>
            </w:r>
          </w:p>
        </w:tc>
      </w:tr>
      <w:tr w:rsidR="00E34DB5" w:rsidRPr="0008594F" w:rsidTr="00BA7240">
        <w:tc>
          <w:tcPr>
            <w:tcW w:w="1526" w:type="dxa"/>
            <w:vMerge/>
            <w:shd w:val="clear" w:color="auto" w:fill="D9D9D9"/>
          </w:tcPr>
          <w:p w:rsidR="00E34DB5" w:rsidRPr="008974F9" w:rsidRDefault="00E34DB5" w:rsidP="00BA7240">
            <w:pPr>
              <w:spacing w:before="120" w:after="120" w:line="300" w:lineRule="auto"/>
              <w:rPr>
                <w:rFonts w:ascii="Calibri" w:hAnsi="Calibri"/>
                <w:color w:val="000000"/>
                <w:sz w:val="20"/>
                <w:szCs w:val="20"/>
                <w:lang w:val="en-US"/>
              </w:rPr>
            </w:pPr>
          </w:p>
        </w:tc>
        <w:tc>
          <w:tcPr>
            <w:tcW w:w="1701"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Priority 2: Development of ICT infrastructure and information sharing</w:t>
            </w:r>
          </w:p>
        </w:tc>
        <w:tc>
          <w:tcPr>
            <w:tcW w:w="1843"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 xml:space="preserve">To increase the penetration of info-communication tools and help the share of information among the citizens, institutions and </w:t>
            </w:r>
            <w:r w:rsidRPr="008974F9">
              <w:rPr>
                <w:rFonts w:ascii="Calibri" w:hAnsi="Calibri"/>
                <w:color w:val="auto"/>
                <w:sz w:val="20"/>
                <w:szCs w:val="20"/>
                <w:lang w:val="en-US"/>
              </w:rPr>
              <w:lastRenderedPageBreak/>
              <w:t>businesses of the border region.</w:t>
            </w:r>
          </w:p>
        </w:tc>
        <w:tc>
          <w:tcPr>
            <w:tcW w:w="4142" w:type="dxa"/>
            <w:shd w:val="clear" w:color="auto" w:fill="D9D9D9"/>
          </w:tcPr>
          <w:p w:rsidR="00E34DB5" w:rsidRPr="008974F9" w:rsidRDefault="00E34DB5" w:rsidP="00BA7240">
            <w:pPr>
              <w:spacing w:after="0" w:line="240" w:lineRule="auto"/>
              <w:rPr>
                <w:rFonts w:ascii="Calibri" w:hAnsi="Calibri"/>
                <w:color w:val="auto"/>
                <w:sz w:val="20"/>
                <w:szCs w:val="20"/>
                <w:lang w:val="en-US"/>
              </w:rPr>
            </w:pPr>
            <w:r w:rsidRPr="008974F9">
              <w:rPr>
                <w:rFonts w:ascii="Calibri" w:hAnsi="Calibri"/>
                <w:color w:val="auto"/>
                <w:sz w:val="20"/>
                <w:szCs w:val="20"/>
                <w:lang w:val="en-US"/>
              </w:rPr>
              <w:lastRenderedPageBreak/>
              <w:t>Types of actions in the frame of the priority:</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 xml:space="preserve">Development of cross-border broadband internet infrastructure and communication </w:t>
            </w:r>
            <w:proofErr w:type="spellStart"/>
            <w:r w:rsidRPr="0001639D">
              <w:rPr>
                <w:rFonts w:ascii="Calibri" w:hAnsi="Calibri"/>
                <w:color w:val="auto"/>
                <w:lang w:val="en-US" w:eastAsia="en-US"/>
              </w:rPr>
              <w:t>centres</w:t>
            </w:r>
            <w:proofErr w:type="spellEnd"/>
            <w:r w:rsidRPr="0001639D">
              <w:rPr>
                <w:rFonts w:ascii="Calibri" w:hAnsi="Calibri"/>
                <w:color w:val="auto"/>
                <w:lang w:val="en-US" w:eastAsia="en-US"/>
              </w:rPr>
              <w:t>.</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Development mutually usable local media content and related media production capacities.</w:t>
            </w:r>
          </w:p>
        </w:tc>
      </w:tr>
      <w:tr w:rsidR="00E34DB5" w:rsidRPr="0008594F" w:rsidTr="00BA7240">
        <w:tc>
          <w:tcPr>
            <w:tcW w:w="1526" w:type="dxa"/>
            <w:vMerge w:val="restart"/>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lastRenderedPageBreak/>
              <w:t>TO8 Common challenges in the field of safety and security</w:t>
            </w:r>
          </w:p>
        </w:tc>
        <w:tc>
          <w:tcPr>
            <w:tcW w:w="1701"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Priority 1: Support to joint activities for the prevention of natural and man-made disasters as well as joint action during emergency situations</w:t>
            </w:r>
          </w:p>
        </w:tc>
        <w:tc>
          <w:tcPr>
            <w:tcW w:w="1843"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To create technical background, strategies and co-operation platforms for the prevention and handling of natural and man-made disasters may risk the citizens of the border area.</w:t>
            </w:r>
          </w:p>
        </w:tc>
        <w:tc>
          <w:tcPr>
            <w:tcW w:w="4142" w:type="dxa"/>
            <w:shd w:val="clear" w:color="auto" w:fill="D9D9D9"/>
          </w:tcPr>
          <w:p w:rsidR="00E34DB5" w:rsidRPr="008974F9" w:rsidRDefault="00E34DB5" w:rsidP="00BA7240">
            <w:pPr>
              <w:spacing w:after="0" w:line="240" w:lineRule="auto"/>
              <w:rPr>
                <w:rFonts w:ascii="Calibri" w:hAnsi="Calibri"/>
                <w:color w:val="auto"/>
                <w:sz w:val="20"/>
                <w:szCs w:val="20"/>
                <w:lang w:val="en-US"/>
              </w:rPr>
            </w:pPr>
            <w:r w:rsidRPr="008974F9">
              <w:rPr>
                <w:rFonts w:ascii="Calibri" w:hAnsi="Calibri"/>
                <w:color w:val="auto"/>
                <w:sz w:val="20"/>
                <w:szCs w:val="20"/>
                <w:lang w:val="en-US"/>
              </w:rPr>
              <w:t>Types of actions in the frame of the priority:</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Harmonizing activities in the field of flood prevention, development of flood prevention infrastructure.</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Setting up joint early warning systems for fire, avalanches, or other natural disaster incidents.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Strategic and technical planning and establishment of joint monitoring systems on environmental (air, water, soil) pollutions.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Increasing awareness and knowledge and developing skills to develop local and regional strategies to prevent and mitigate the impact of global climate change.</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Support/cooperation/network of non-governmental rescue teams/organizations.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Database regarding natural disasters incidents.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 xml:space="preserve">Joint training </w:t>
            </w:r>
            <w:proofErr w:type="spellStart"/>
            <w:r w:rsidRPr="0001639D">
              <w:rPr>
                <w:rFonts w:ascii="Calibri" w:hAnsi="Calibri"/>
                <w:color w:val="auto"/>
                <w:lang w:val="en-US" w:eastAsia="en-US"/>
              </w:rPr>
              <w:t>programmes</w:t>
            </w:r>
            <w:proofErr w:type="spellEnd"/>
            <w:r w:rsidRPr="0001639D">
              <w:rPr>
                <w:rFonts w:ascii="Calibri" w:hAnsi="Calibri"/>
                <w:color w:val="auto"/>
                <w:lang w:val="en-US" w:eastAsia="en-US"/>
              </w:rPr>
              <w:t xml:space="preserve"> and workshops, exchange of experiences, study tours.</w:t>
            </w:r>
          </w:p>
        </w:tc>
      </w:tr>
      <w:tr w:rsidR="00E34DB5" w:rsidRPr="0008594F" w:rsidTr="00BA7240">
        <w:tc>
          <w:tcPr>
            <w:tcW w:w="1526" w:type="dxa"/>
            <w:vMerge/>
            <w:shd w:val="clear" w:color="auto" w:fill="D9D9D9"/>
          </w:tcPr>
          <w:p w:rsidR="00E34DB5" w:rsidRPr="008974F9" w:rsidRDefault="00E34DB5" w:rsidP="00BA7240">
            <w:pPr>
              <w:spacing w:before="120" w:after="120" w:line="300" w:lineRule="auto"/>
              <w:rPr>
                <w:rFonts w:ascii="Calibri" w:hAnsi="Calibri"/>
                <w:color w:val="000000"/>
                <w:sz w:val="20"/>
                <w:szCs w:val="20"/>
                <w:lang w:val="en-US"/>
              </w:rPr>
            </w:pPr>
          </w:p>
        </w:tc>
        <w:tc>
          <w:tcPr>
            <w:tcW w:w="1701"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Priority 2: Support to the development of health</w:t>
            </w:r>
          </w:p>
        </w:tc>
        <w:tc>
          <w:tcPr>
            <w:tcW w:w="1843" w:type="dxa"/>
            <w:shd w:val="clear" w:color="auto" w:fill="D9D9D9"/>
          </w:tcPr>
          <w:p w:rsidR="00E34DB5" w:rsidRPr="008974F9" w:rsidRDefault="00E34DB5" w:rsidP="00BA7240">
            <w:pPr>
              <w:spacing w:before="120" w:after="120" w:line="300" w:lineRule="auto"/>
              <w:rPr>
                <w:rFonts w:ascii="Calibri" w:hAnsi="Calibri"/>
                <w:color w:val="auto"/>
                <w:sz w:val="20"/>
                <w:szCs w:val="20"/>
                <w:lang w:val="en-US"/>
              </w:rPr>
            </w:pPr>
            <w:r w:rsidRPr="008974F9">
              <w:rPr>
                <w:rFonts w:ascii="Calibri" w:hAnsi="Calibri"/>
                <w:color w:val="auto"/>
                <w:sz w:val="20"/>
                <w:szCs w:val="20"/>
                <w:lang w:val="en-US"/>
              </w:rPr>
              <w:t>To improve the prevention activities, the availability and level of services of health and social programs for the citizens of the border area.</w:t>
            </w:r>
          </w:p>
        </w:tc>
        <w:tc>
          <w:tcPr>
            <w:tcW w:w="4142" w:type="dxa"/>
            <w:shd w:val="clear" w:color="auto" w:fill="D9D9D9"/>
          </w:tcPr>
          <w:p w:rsidR="00E34DB5" w:rsidRPr="008974F9" w:rsidRDefault="00E34DB5" w:rsidP="00BA7240">
            <w:pPr>
              <w:spacing w:after="0" w:line="240" w:lineRule="auto"/>
              <w:rPr>
                <w:rFonts w:ascii="Calibri" w:hAnsi="Calibri"/>
                <w:color w:val="auto"/>
                <w:sz w:val="20"/>
                <w:szCs w:val="20"/>
                <w:lang w:val="en-US"/>
              </w:rPr>
            </w:pPr>
            <w:r w:rsidRPr="008974F9">
              <w:rPr>
                <w:rFonts w:ascii="Calibri" w:hAnsi="Calibri"/>
                <w:color w:val="auto"/>
                <w:sz w:val="20"/>
                <w:szCs w:val="20"/>
                <w:lang w:val="en-US"/>
              </w:rPr>
              <w:t>Types of actions in the frame of the priority:</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Improvement of health care and prevention infrastructure and equipment related to cross border service provision, joint capacity development.</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Joint development and establishment of patient care areas.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 xml:space="preserve">Exchange of know-how, joint training </w:t>
            </w:r>
            <w:proofErr w:type="spellStart"/>
            <w:r w:rsidRPr="0001639D">
              <w:rPr>
                <w:rFonts w:ascii="Calibri" w:hAnsi="Calibri"/>
                <w:color w:val="auto"/>
                <w:lang w:val="en-US" w:eastAsia="en-US"/>
              </w:rPr>
              <w:t>programmes</w:t>
            </w:r>
            <w:proofErr w:type="spellEnd"/>
            <w:r w:rsidRPr="0001639D">
              <w:rPr>
                <w:rFonts w:ascii="Calibri" w:hAnsi="Calibri"/>
                <w:color w:val="auto"/>
                <w:lang w:val="en-US" w:eastAsia="en-US"/>
              </w:rPr>
              <w:t>, joint prevention programs, joint support services.</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 xml:space="preserve">Co-operation between institutions on the field of human epidemiology. </w:t>
            </w:r>
          </w:p>
          <w:p w:rsidR="00E34DB5" w:rsidRPr="0001639D" w:rsidRDefault="00E34DB5" w:rsidP="00E34DB5">
            <w:pPr>
              <w:pStyle w:val="Listaszerbekezds"/>
              <w:numPr>
                <w:ilvl w:val="0"/>
                <w:numId w:val="5"/>
              </w:numPr>
              <w:spacing w:after="160" w:line="256" w:lineRule="auto"/>
              <w:ind w:left="317" w:hanging="284"/>
              <w:jc w:val="both"/>
              <w:rPr>
                <w:rFonts w:ascii="Calibri" w:hAnsi="Calibri"/>
                <w:color w:val="auto"/>
                <w:lang w:val="en-US" w:eastAsia="en-US"/>
              </w:rPr>
            </w:pPr>
            <w:r w:rsidRPr="0001639D">
              <w:rPr>
                <w:rFonts w:ascii="Calibri" w:hAnsi="Calibri"/>
                <w:color w:val="auto"/>
                <w:lang w:val="en-US" w:eastAsia="en-US"/>
              </w:rPr>
              <w:t>Improvement of social care services infrastructure.</w:t>
            </w:r>
          </w:p>
        </w:tc>
      </w:tr>
    </w:tbl>
    <w:p w:rsidR="00E34DB5" w:rsidRPr="0008594F" w:rsidRDefault="00E34DB5" w:rsidP="00E34DB5">
      <w:pPr>
        <w:spacing w:before="120" w:after="120" w:line="300" w:lineRule="auto"/>
        <w:jc w:val="both"/>
        <w:rPr>
          <w:rStyle w:val="apple-style-span"/>
          <w:color w:val="auto"/>
          <w:lang w:val="en-US"/>
        </w:rPr>
      </w:pPr>
      <w:r w:rsidRPr="0008594F">
        <w:rPr>
          <w:rStyle w:val="apple-style-span"/>
          <w:b/>
          <w:color w:val="auto"/>
          <w:lang w:val="en-US"/>
        </w:rPr>
        <w:t>The environmental assessment shall be carried out</w:t>
      </w:r>
      <w:r w:rsidRPr="0008594F">
        <w:rPr>
          <w:rStyle w:val="apple-style-span"/>
          <w:color w:val="auto"/>
          <w:lang w:val="en-US"/>
        </w:rPr>
        <w:t xml:space="preserve"> since the characteristics of the HUSKROUA ENI CBC </w:t>
      </w:r>
      <w:proofErr w:type="spellStart"/>
      <w:r w:rsidRPr="0008594F">
        <w:rPr>
          <w:rStyle w:val="apple-style-span"/>
          <w:color w:val="auto"/>
          <w:lang w:val="en-US"/>
        </w:rPr>
        <w:t>Programme</w:t>
      </w:r>
      <w:proofErr w:type="spellEnd"/>
      <w:r w:rsidRPr="0008594F">
        <w:rPr>
          <w:rStyle w:val="apple-style-span"/>
          <w:color w:val="auto"/>
          <w:lang w:val="en-US"/>
        </w:rPr>
        <w:t xml:space="preserve"> 2014-2020 fulfil</w:t>
      </w:r>
      <w:r>
        <w:rPr>
          <w:rStyle w:val="apple-style-span"/>
          <w:color w:val="auto"/>
          <w:lang w:val="en-US"/>
        </w:rPr>
        <w:t>l</w:t>
      </w:r>
      <w:r w:rsidRPr="0008594F">
        <w:rPr>
          <w:rStyle w:val="apple-style-span"/>
          <w:color w:val="auto"/>
          <w:lang w:val="en-US"/>
        </w:rPr>
        <w:t xml:space="preserve"> the categories and requirements which determine the necessity for the Strategic Environmental Assessment procedure</w:t>
      </w:r>
      <w:r w:rsidR="00937A1C">
        <w:rPr>
          <w:rStyle w:val="apple-style-span"/>
          <w:color w:val="auto"/>
          <w:lang w:val="en-US"/>
        </w:rPr>
        <w:t>, due to the following reasons:</w:t>
      </w:r>
    </w:p>
    <w:p w:rsidR="00E34DB5" w:rsidRPr="00937A1C" w:rsidRDefault="00E34DB5" w:rsidP="00E34DB5">
      <w:pPr>
        <w:pStyle w:val="Listaszerbekezds"/>
        <w:numPr>
          <w:ilvl w:val="0"/>
          <w:numId w:val="1"/>
        </w:numPr>
        <w:spacing w:before="120" w:after="120" w:line="300" w:lineRule="auto"/>
        <w:jc w:val="both"/>
        <w:rPr>
          <w:rStyle w:val="apple-style-span"/>
          <w:color w:val="auto"/>
          <w:sz w:val="22"/>
          <w:szCs w:val="22"/>
          <w:lang w:val="en-US"/>
        </w:rPr>
      </w:pPr>
      <w:r w:rsidRPr="00937A1C">
        <w:rPr>
          <w:rStyle w:val="apple-style-span"/>
          <w:color w:val="auto"/>
          <w:sz w:val="22"/>
          <w:szCs w:val="22"/>
          <w:lang w:val="en-US"/>
        </w:rPr>
        <w:t xml:space="preserve">The Joint Operational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for the HUSKROUA ENI CBC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2014-2020 is a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which is determined to be likely to have significant environmental effects according to Article 3(3) and 3(4) of the SEA Directive. The determination of the likely significance of effects is detailed in chapter 3.</w:t>
      </w:r>
    </w:p>
    <w:p w:rsidR="00E34DB5" w:rsidRPr="00937A1C" w:rsidRDefault="00E34DB5" w:rsidP="00E34DB5">
      <w:pPr>
        <w:pStyle w:val="Listaszerbekezds"/>
        <w:numPr>
          <w:ilvl w:val="0"/>
          <w:numId w:val="1"/>
        </w:numPr>
        <w:spacing w:before="120" w:after="120" w:line="300" w:lineRule="auto"/>
        <w:jc w:val="both"/>
        <w:rPr>
          <w:rStyle w:val="apple-style-span"/>
          <w:color w:val="auto"/>
          <w:sz w:val="22"/>
          <w:szCs w:val="22"/>
          <w:lang w:val="en-US"/>
        </w:rPr>
      </w:pPr>
      <w:r w:rsidRPr="00937A1C">
        <w:rPr>
          <w:rStyle w:val="apple-style-span"/>
          <w:color w:val="auto"/>
          <w:sz w:val="22"/>
          <w:szCs w:val="22"/>
          <w:lang w:val="en-US"/>
        </w:rPr>
        <w:lastRenderedPageBreak/>
        <w:t xml:space="preserve">The Joint Operational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for the HUSKROUA ENI CBC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2014-2020 is subject to preparation and adoption by national and regional authorities in the Participating Countries, and prepared for adoption through legislative procedure by the Governments.</w:t>
      </w:r>
    </w:p>
    <w:p w:rsidR="00E34DB5" w:rsidRPr="00937A1C" w:rsidRDefault="00E34DB5" w:rsidP="00E34DB5">
      <w:pPr>
        <w:pStyle w:val="Listaszerbekezds"/>
        <w:numPr>
          <w:ilvl w:val="0"/>
          <w:numId w:val="1"/>
        </w:numPr>
        <w:spacing w:before="120" w:after="120" w:line="300" w:lineRule="auto"/>
        <w:jc w:val="both"/>
        <w:rPr>
          <w:rStyle w:val="apple-style-span"/>
          <w:color w:val="auto"/>
          <w:sz w:val="22"/>
          <w:szCs w:val="22"/>
          <w:lang w:val="en-US"/>
        </w:rPr>
      </w:pPr>
      <w:r w:rsidRPr="00937A1C">
        <w:rPr>
          <w:rStyle w:val="apple-style-span"/>
          <w:color w:val="auto"/>
          <w:sz w:val="22"/>
          <w:szCs w:val="22"/>
          <w:lang w:val="en-US"/>
        </w:rPr>
        <w:t xml:space="preserve">The Joint Operational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for the HUSKROUA ENI CBC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2014-2020 is required by legislative provisions. </w:t>
      </w:r>
    </w:p>
    <w:p w:rsidR="00E34DB5" w:rsidRPr="00937A1C" w:rsidRDefault="00E34DB5" w:rsidP="00E34DB5">
      <w:pPr>
        <w:pStyle w:val="Listaszerbekezds"/>
        <w:numPr>
          <w:ilvl w:val="0"/>
          <w:numId w:val="1"/>
        </w:numPr>
        <w:spacing w:before="120" w:after="120" w:line="300" w:lineRule="auto"/>
        <w:jc w:val="both"/>
        <w:rPr>
          <w:rStyle w:val="apple-style-span"/>
          <w:color w:val="auto"/>
          <w:sz w:val="22"/>
          <w:szCs w:val="22"/>
          <w:lang w:val="en-US"/>
        </w:rPr>
      </w:pPr>
      <w:r w:rsidRPr="00937A1C">
        <w:rPr>
          <w:rStyle w:val="apple-style-span"/>
          <w:color w:val="auto"/>
          <w:sz w:val="22"/>
          <w:szCs w:val="22"/>
          <w:lang w:val="en-US"/>
        </w:rPr>
        <w:t xml:space="preserve">The Joint Operational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for the HUSKROUA ENI CBC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2014-2020 is financed by the European Union and by national Governments.</w:t>
      </w:r>
    </w:p>
    <w:p w:rsidR="00E34DB5" w:rsidRPr="00937A1C" w:rsidRDefault="00E34DB5" w:rsidP="00E34DB5">
      <w:pPr>
        <w:pStyle w:val="Listaszerbekezds"/>
        <w:numPr>
          <w:ilvl w:val="0"/>
          <w:numId w:val="1"/>
        </w:numPr>
        <w:spacing w:before="120" w:after="120" w:line="300" w:lineRule="auto"/>
        <w:jc w:val="both"/>
        <w:rPr>
          <w:rStyle w:val="apple-style-span"/>
          <w:color w:val="auto"/>
          <w:sz w:val="22"/>
          <w:szCs w:val="22"/>
          <w:lang w:val="en-US"/>
        </w:rPr>
      </w:pPr>
      <w:r w:rsidRPr="00937A1C">
        <w:rPr>
          <w:rStyle w:val="apple-style-span"/>
          <w:color w:val="auto"/>
          <w:sz w:val="22"/>
          <w:szCs w:val="22"/>
          <w:lang w:val="en-US"/>
        </w:rPr>
        <w:t xml:space="preserve">The Joint Operational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for the HUSKROUA ENI CBC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2014-2020 is prepared for several sectors detailed in chapter 4. </w:t>
      </w:r>
    </w:p>
    <w:p w:rsidR="00E34DB5" w:rsidRPr="00937A1C" w:rsidRDefault="00E34DB5" w:rsidP="00E34DB5">
      <w:pPr>
        <w:pStyle w:val="Listaszerbekezds"/>
        <w:numPr>
          <w:ilvl w:val="0"/>
          <w:numId w:val="1"/>
        </w:numPr>
        <w:spacing w:before="120" w:after="120" w:line="300" w:lineRule="auto"/>
        <w:jc w:val="both"/>
        <w:rPr>
          <w:rStyle w:val="apple-style-span"/>
          <w:color w:val="auto"/>
          <w:sz w:val="22"/>
          <w:szCs w:val="22"/>
          <w:lang w:val="en-US"/>
        </w:rPr>
      </w:pPr>
      <w:r w:rsidRPr="00937A1C">
        <w:rPr>
          <w:rStyle w:val="apple-style-span"/>
          <w:color w:val="auto"/>
          <w:sz w:val="22"/>
          <w:szCs w:val="22"/>
          <w:lang w:val="en-US"/>
        </w:rPr>
        <w:t xml:space="preserve">The Joint Operational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for the HUSKROUA ENI CBC </w:t>
      </w:r>
      <w:proofErr w:type="spellStart"/>
      <w:r w:rsidRPr="00937A1C">
        <w:rPr>
          <w:rStyle w:val="apple-style-span"/>
          <w:color w:val="auto"/>
          <w:sz w:val="22"/>
          <w:szCs w:val="22"/>
          <w:lang w:val="en-US"/>
        </w:rPr>
        <w:t>Programme</w:t>
      </w:r>
      <w:proofErr w:type="spellEnd"/>
      <w:r w:rsidRPr="00937A1C">
        <w:rPr>
          <w:rStyle w:val="apple-style-span"/>
          <w:color w:val="auto"/>
          <w:sz w:val="22"/>
          <w:szCs w:val="22"/>
          <w:lang w:val="en-US"/>
        </w:rPr>
        <w:t xml:space="preserve"> 2014-2020 sets a framework for future development consent of projects in Annexes I and II of the Directive EIA. </w:t>
      </w:r>
    </w:p>
    <w:p w:rsidR="00E34DB5" w:rsidRPr="0008594F" w:rsidRDefault="00E34DB5" w:rsidP="00E34DB5">
      <w:pPr>
        <w:spacing w:before="120" w:after="120" w:line="300" w:lineRule="auto"/>
        <w:jc w:val="both"/>
        <w:rPr>
          <w:rStyle w:val="apple-style-span"/>
          <w:color w:val="auto"/>
          <w:lang w:val="en-US"/>
        </w:rPr>
      </w:pPr>
      <w:r w:rsidRPr="0008594F">
        <w:rPr>
          <w:rStyle w:val="apple-style-span"/>
          <w:color w:val="auto"/>
          <w:lang w:val="en-US"/>
        </w:rPr>
        <w:t xml:space="preserve">Therefore the SEA has to be carried out during the preparation of the </w:t>
      </w:r>
      <w:proofErr w:type="spellStart"/>
      <w:r w:rsidRPr="0008594F">
        <w:rPr>
          <w:rStyle w:val="apple-style-span"/>
          <w:color w:val="auto"/>
          <w:lang w:val="en-US"/>
        </w:rPr>
        <w:t>programme</w:t>
      </w:r>
      <w:proofErr w:type="spellEnd"/>
      <w:r w:rsidRPr="0008594F">
        <w:rPr>
          <w:rStyle w:val="apple-style-span"/>
          <w:color w:val="auto"/>
          <w:lang w:val="en-US"/>
        </w:rPr>
        <w:t xml:space="preserve"> and has to be completed before the approval and submission to the Commission in order to ensure the high level protection of the environment and to contribute to the integration of environmental aspects into the preparation and adoption of the HUSKROUA ENI CBC </w:t>
      </w:r>
      <w:proofErr w:type="spellStart"/>
      <w:r w:rsidRPr="0008594F">
        <w:rPr>
          <w:rStyle w:val="apple-style-span"/>
          <w:color w:val="auto"/>
          <w:lang w:val="en-US"/>
        </w:rPr>
        <w:t>Programme</w:t>
      </w:r>
      <w:proofErr w:type="spellEnd"/>
      <w:r w:rsidRPr="0008594F">
        <w:rPr>
          <w:rStyle w:val="apple-style-span"/>
          <w:color w:val="auto"/>
          <w:lang w:val="en-US"/>
        </w:rPr>
        <w:t xml:space="preserve"> 2014-2020 with special regard to the promotion </w:t>
      </w:r>
      <w:r w:rsidR="00937A1C">
        <w:rPr>
          <w:rStyle w:val="apple-style-span"/>
          <w:color w:val="auto"/>
          <w:lang w:val="en-US"/>
        </w:rPr>
        <w:t>of sustainable development.</w:t>
      </w:r>
    </w:p>
    <w:p w:rsidR="00E34DB5" w:rsidRPr="00E34DB5" w:rsidRDefault="00E34DB5" w:rsidP="00E34DB5">
      <w:pPr>
        <w:spacing w:before="120" w:after="120" w:line="300" w:lineRule="auto"/>
        <w:rPr>
          <w:rFonts w:ascii="Calibri" w:hAnsi="Calibri"/>
          <w:b/>
          <w:color w:val="000000"/>
          <w:lang w:val="en-US"/>
        </w:rPr>
      </w:pPr>
      <w:r w:rsidRPr="00E34DB5">
        <w:rPr>
          <w:rFonts w:ascii="Calibri" w:hAnsi="Calibri"/>
          <w:b/>
          <w:color w:val="000000"/>
          <w:lang w:val="en-US"/>
        </w:rPr>
        <w:t xml:space="preserve">The likely significance of effects of the </w:t>
      </w:r>
      <w:proofErr w:type="spellStart"/>
      <w:r w:rsidRPr="00E34DB5">
        <w:rPr>
          <w:rFonts w:ascii="Calibri" w:hAnsi="Calibri"/>
          <w:b/>
          <w:color w:val="000000"/>
          <w:lang w:val="en-US"/>
        </w:rPr>
        <w:t>programme</w:t>
      </w:r>
      <w:proofErr w:type="spellEnd"/>
      <w:r w:rsidRPr="00E34DB5">
        <w:rPr>
          <w:rFonts w:ascii="Calibri" w:hAnsi="Calibri"/>
          <w:b/>
          <w:color w:val="000000"/>
          <w:lang w:val="en-US"/>
        </w:rPr>
        <w:t>:</w:t>
      </w:r>
    </w:p>
    <w:p w:rsidR="00E34DB5" w:rsidRPr="0008594F" w:rsidRDefault="00E34DB5" w:rsidP="00E34DB5">
      <w:pPr>
        <w:spacing w:before="120" w:after="120" w:line="300" w:lineRule="auto"/>
        <w:jc w:val="both"/>
        <w:rPr>
          <w:rFonts w:ascii="Calibri" w:hAnsi="Calibri"/>
          <w:color w:val="000000"/>
          <w:lang w:val="en-US"/>
        </w:rPr>
      </w:pPr>
      <w:r w:rsidRPr="0008594F">
        <w:rPr>
          <w:rFonts w:ascii="Calibri" w:hAnsi="Calibri"/>
          <w:color w:val="000000"/>
          <w:lang w:val="en-US"/>
        </w:rPr>
        <w:t xml:space="preserve">The effects of the HUSKROUA ENI CBC </w:t>
      </w:r>
      <w:proofErr w:type="spellStart"/>
      <w:r w:rsidRPr="0008594F">
        <w:rPr>
          <w:rFonts w:ascii="Calibri" w:hAnsi="Calibri"/>
          <w:color w:val="000000"/>
          <w:lang w:val="en-US"/>
        </w:rPr>
        <w:t>Programme</w:t>
      </w:r>
      <w:proofErr w:type="spellEnd"/>
      <w:r w:rsidR="00937A1C">
        <w:rPr>
          <w:rFonts w:ascii="Calibri" w:hAnsi="Calibri"/>
          <w:color w:val="000000"/>
          <w:lang w:val="en-US"/>
        </w:rPr>
        <w:t xml:space="preserve"> </w:t>
      </w:r>
      <w:r w:rsidRPr="0008594F">
        <w:rPr>
          <w:rFonts w:ascii="Calibri" w:hAnsi="Calibri"/>
          <w:color w:val="000000"/>
          <w:lang w:val="en-US"/>
        </w:rPr>
        <w:t xml:space="preserve">2014-2020 have been determined </w:t>
      </w:r>
      <w:r w:rsidR="00937A1C">
        <w:rPr>
          <w:rFonts w:ascii="Calibri" w:hAnsi="Calibri"/>
          <w:color w:val="000000"/>
          <w:lang w:val="en-US"/>
        </w:rPr>
        <w:t xml:space="preserve">– </w:t>
      </w:r>
      <w:r w:rsidRPr="0008594F">
        <w:rPr>
          <w:rFonts w:ascii="Calibri" w:hAnsi="Calibri"/>
          <w:color w:val="000000"/>
          <w:lang w:val="en-US"/>
        </w:rPr>
        <w:t xml:space="preserve">by the specificity of the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and the types of actions planned</w:t>
      </w:r>
      <w:r w:rsidR="00937A1C">
        <w:rPr>
          <w:rFonts w:ascii="Calibri" w:hAnsi="Calibri"/>
          <w:color w:val="000000"/>
          <w:lang w:val="en-US"/>
        </w:rPr>
        <w:t xml:space="preserve"> –</w:t>
      </w:r>
      <w:r w:rsidRPr="0008594F">
        <w:rPr>
          <w:rFonts w:ascii="Calibri" w:hAnsi="Calibri"/>
          <w:color w:val="000000"/>
          <w:lang w:val="en-US"/>
        </w:rPr>
        <w:t xml:space="preserve"> as likely significant, having cumulative nature according to the criteria of the European Directive 2001/42/EC on the assessment of effects of certain plans and </w:t>
      </w:r>
      <w:proofErr w:type="spellStart"/>
      <w:r w:rsidRPr="0008594F">
        <w:rPr>
          <w:rFonts w:ascii="Calibri" w:hAnsi="Calibri"/>
          <w:color w:val="000000"/>
          <w:lang w:val="en-US"/>
        </w:rPr>
        <w:t>programmes</w:t>
      </w:r>
      <w:proofErr w:type="spellEnd"/>
      <w:r w:rsidRPr="0008594F">
        <w:rPr>
          <w:rFonts w:ascii="Calibri" w:hAnsi="Calibri"/>
          <w:color w:val="000000"/>
          <w:lang w:val="en-US"/>
        </w:rPr>
        <w:t xml:space="preserve"> on the environment –ANNEX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3"/>
        <w:gridCol w:w="2205"/>
      </w:tblGrid>
      <w:tr w:rsidR="00E34DB5" w:rsidRPr="0008594F" w:rsidTr="00BA7240">
        <w:tc>
          <w:tcPr>
            <w:tcW w:w="9275" w:type="dxa"/>
            <w:gridSpan w:val="2"/>
            <w:tcBorders>
              <w:top w:val="single" w:sz="4" w:space="0" w:color="FFFFFF"/>
              <w:left w:val="single" w:sz="4" w:space="0" w:color="FFFFFF"/>
              <w:bottom w:val="single" w:sz="4" w:space="0" w:color="FFFFFF"/>
              <w:right w:val="single" w:sz="4" w:space="0" w:color="FFFFFF"/>
            </w:tcBorders>
            <w:shd w:val="clear" w:color="auto" w:fill="548DD4"/>
          </w:tcPr>
          <w:p w:rsidR="00E34DB5" w:rsidRPr="0008594F" w:rsidRDefault="00E34DB5" w:rsidP="00BA7240">
            <w:pPr>
              <w:spacing w:before="120" w:after="120" w:line="300" w:lineRule="auto"/>
              <w:rPr>
                <w:rFonts w:ascii="Calibri" w:hAnsi="Calibri"/>
                <w:b/>
                <w:color w:val="FFFFFF"/>
                <w:lang w:val="en-US"/>
              </w:rPr>
            </w:pPr>
            <w:r w:rsidRPr="0008594F">
              <w:rPr>
                <w:rFonts w:ascii="Calibri" w:hAnsi="Calibri"/>
                <w:b/>
                <w:color w:val="FFFFFF"/>
                <w:lang w:val="en-US"/>
              </w:rPr>
              <w:t xml:space="preserve">According to the characteristics of the HUSKROUA ENI CBC </w:t>
            </w:r>
            <w:proofErr w:type="spellStart"/>
            <w:r w:rsidRPr="0008594F">
              <w:rPr>
                <w:rFonts w:ascii="Calibri" w:hAnsi="Calibri"/>
                <w:b/>
                <w:color w:val="FFFFFF"/>
                <w:lang w:val="en-US"/>
              </w:rPr>
              <w:t>Programme</w:t>
            </w:r>
            <w:proofErr w:type="spellEnd"/>
            <w:r w:rsidRPr="0008594F">
              <w:rPr>
                <w:rFonts w:ascii="Calibri" w:hAnsi="Calibri"/>
                <w:b/>
                <w:color w:val="FFFFFF"/>
                <w:lang w:val="en-US"/>
              </w:rPr>
              <w:t xml:space="preserve"> 2014-2020:</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xml:space="preserve">- the degree to which the plan or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sets a framework for projects and other activities, either with regard to the location, nature, size and operating conditions or by allocating resources:</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jc w:val="center"/>
              <w:rPr>
                <w:rFonts w:ascii="Calibri" w:hAnsi="Calibri"/>
                <w:color w:val="000000"/>
                <w:lang w:val="en-US"/>
              </w:rPr>
            </w:pPr>
            <w:r w:rsidRPr="0008594F">
              <w:rPr>
                <w:rFonts w:ascii="Calibri" w:hAnsi="Calibri"/>
                <w:color w:val="000000"/>
                <w:lang w:val="en-US"/>
              </w:rPr>
              <w:t>considerably</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xml:space="preserve">- the degree to which the plan or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influences other plans and </w:t>
            </w:r>
            <w:proofErr w:type="spellStart"/>
            <w:r w:rsidRPr="0008594F">
              <w:rPr>
                <w:rFonts w:ascii="Calibri" w:hAnsi="Calibri"/>
                <w:color w:val="000000"/>
                <w:lang w:val="en-US"/>
              </w:rPr>
              <w:t>programmes</w:t>
            </w:r>
            <w:proofErr w:type="spellEnd"/>
            <w:r w:rsidRPr="0008594F">
              <w:rPr>
                <w:rFonts w:ascii="Calibri" w:hAnsi="Calibri"/>
                <w:color w:val="000000"/>
                <w:lang w:val="en-US"/>
              </w:rPr>
              <w:t xml:space="preserve"> including those in a hierarchy:</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jc w:val="center"/>
              <w:rPr>
                <w:rFonts w:ascii="Calibri" w:hAnsi="Calibri"/>
                <w:color w:val="000000"/>
                <w:lang w:val="en-US"/>
              </w:rPr>
            </w:pPr>
            <w:r w:rsidRPr="0008594F">
              <w:rPr>
                <w:rFonts w:ascii="Calibri" w:hAnsi="Calibri"/>
                <w:color w:val="000000"/>
                <w:lang w:val="en-US"/>
              </w:rPr>
              <w:t>even tempered</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xml:space="preserve">- the relevance of the plan or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for the integration of environmental considerations in particular with a view to promoting sustainable development:</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jc w:val="center"/>
              <w:rPr>
                <w:rFonts w:ascii="Calibri" w:hAnsi="Calibri"/>
                <w:color w:val="000000"/>
                <w:lang w:val="en-US"/>
              </w:rPr>
            </w:pPr>
            <w:r w:rsidRPr="0008594F">
              <w:rPr>
                <w:rFonts w:ascii="Calibri" w:hAnsi="Calibri"/>
                <w:color w:val="000000"/>
                <w:lang w:val="en-US"/>
              </w:rPr>
              <w:t>considerably</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xml:space="preserve">- environmental problems relevant to the plan or </w:t>
            </w:r>
            <w:proofErr w:type="spellStart"/>
            <w:r w:rsidRPr="0008594F">
              <w:rPr>
                <w:rFonts w:ascii="Calibri" w:hAnsi="Calibri"/>
                <w:color w:val="000000"/>
                <w:lang w:val="en-US"/>
              </w:rPr>
              <w:t>programme</w:t>
            </w:r>
            <w:proofErr w:type="spellEnd"/>
            <w:r w:rsidRPr="0008594F">
              <w:rPr>
                <w:rFonts w:ascii="Calibri" w:hAnsi="Calibri"/>
                <w:color w:val="000000"/>
                <w:lang w:val="en-US"/>
              </w:rPr>
              <w:t>:</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jc w:val="center"/>
              <w:rPr>
                <w:rFonts w:ascii="Calibri" w:hAnsi="Calibri"/>
                <w:color w:val="000000"/>
                <w:lang w:val="en-US"/>
              </w:rPr>
            </w:pPr>
            <w:r w:rsidRPr="0008594F">
              <w:rPr>
                <w:rFonts w:ascii="Calibri" w:hAnsi="Calibri"/>
                <w:color w:val="000000"/>
                <w:lang w:val="en-US"/>
              </w:rPr>
              <w:t>to a high degree</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xml:space="preserve">- the relevance of the plan or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for the implementation of </w:t>
            </w:r>
            <w:r w:rsidRPr="0008594F">
              <w:rPr>
                <w:rFonts w:ascii="Calibri" w:hAnsi="Calibri"/>
                <w:color w:val="000000"/>
                <w:lang w:val="en-US"/>
              </w:rPr>
              <w:lastRenderedPageBreak/>
              <w:t xml:space="preserve">Community legislation on the environment (e.g. plans and </w:t>
            </w:r>
            <w:proofErr w:type="spellStart"/>
            <w:r w:rsidRPr="0008594F">
              <w:rPr>
                <w:rFonts w:ascii="Calibri" w:hAnsi="Calibri"/>
                <w:color w:val="000000"/>
                <w:lang w:val="en-US"/>
              </w:rPr>
              <w:t>programmes</w:t>
            </w:r>
            <w:proofErr w:type="spellEnd"/>
            <w:r w:rsidRPr="0008594F">
              <w:rPr>
                <w:rFonts w:ascii="Calibri" w:hAnsi="Calibri"/>
                <w:color w:val="000000"/>
                <w:lang w:val="en-US"/>
              </w:rPr>
              <w:t xml:space="preserve"> linked to waste-management or water protection):</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jc w:val="center"/>
              <w:rPr>
                <w:rFonts w:ascii="Calibri" w:hAnsi="Calibri"/>
                <w:color w:val="000000"/>
                <w:lang w:val="en-US"/>
              </w:rPr>
            </w:pPr>
            <w:r w:rsidRPr="0008594F">
              <w:rPr>
                <w:rFonts w:ascii="Calibri" w:hAnsi="Calibri"/>
                <w:color w:val="000000"/>
                <w:lang w:val="en-US"/>
              </w:rPr>
              <w:lastRenderedPageBreak/>
              <w:t xml:space="preserve">facilitates this type of </w:t>
            </w:r>
            <w:r w:rsidRPr="0008594F">
              <w:rPr>
                <w:rFonts w:ascii="Calibri" w:hAnsi="Calibri"/>
                <w:color w:val="000000"/>
                <w:lang w:val="en-US"/>
              </w:rPr>
              <w:lastRenderedPageBreak/>
              <w:t>implementation</w:t>
            </w:r>
          </w:p>
        </w:tc>
      </w:tr>
      <w:tr w:rsidR="00E34DB5" w:rsidRPr="0008594F" w:rsidTr="00BA7240">
        <w:tc>
          <w:tcPr>
            <w:tcW w:w="9275" w:type="dxa"/>
            <w:gridSpan w:val="2"/>
            <w:tcBorders>
              <w:top w:val="single" w:sz="4" w:space="0" w:color="FFFFFF"/>
              <w:left w:val="single" w:sz="4" w:space="0" w:color="FFFFFF"/>
              <w:bottom w:val="single" w:sz="4" w:space="0" w:color="FFFFFF"/>
              <w:right w:val="single" w:sz="4" w:space="0" w:color="FFFFFF"/>
            </w:tcBorders>
            <w:shd w:val="clear" w:color="auto" w:fill="548DD4"/>
          </w:tcPr>
          <w:p w:rsidR="00E34DB5" w:rsidRPr="0008594F" w:rsidRDefault="00E34DB5" w:rsidP="00BA7240">
            <w:pPr>
              <w:spacing w:before="120" w:after="120" w:line="300" w:lineRule="auto"/>
              <w:rPr>
                <w:rFonts w:ascii="Calibri" w:hAnsi="Calibri"/>
                <w:b/>
                <w:color w:val="FFFFFF"/>
                <w:lang w:val="en-US"/>
              </w:rPr>
            </w:pPr>
            <w:r w:rsidRPr="0008594F">
              <w:rPr>
                <w:rFonts w:ascii="Calibri" w:hAnsi="Calibri"/>
                <w:b/>
                <w:color w:val="FFFFFF"/>
                <w:lang w:val="en-US"/>
              </w:rPr>
              <w:lastRenderedPageBreak/>
              <w:t>According to the characteristics of the effects:</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the probability, duration, frequency and reversibility of the effects:</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jc w:val="center"/>
              <w:rPr>
                <w:rFonts w:ascii="Calibri" w:hAnsi="Calibri"/>
                <w:color w:val="000000"/>
                <w:lang w:val="en-US"/>
              </w:rPr>
            </w:pPr>
            <w:r w:rsidRPr="0008594F">
              <w:rPr>
                <w:rFonts w:ascii="Calibri" w:hAnsi="Calibri"/>
                <w:color w:val="000000"/>
                <w:lang w:val="en-US"/>
              </w:rPr>
              <w:t>widely</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the cumulative nature of the effects:</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jc w:val="center"/>
              <w:rPr>
                <w:rFonts w:ascii="Calibri" w:hAnsi="Calibri"/>
                <w:color w:val="000000"/>
                <w:lang w:val="en-US"/>
              </w:rPr>
            </w:pPr>
            <w:r w:rsidRPr="0008594F">
              <w:rPr>
                <w:rFonts w:ascii="Calibri" w:hAnsi="Calibri"/>
                <w:color w:val="000000"/>
                <w:lang w:val="en-US"/>
              </w:rPr>
              <w:t>widely cumulative</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xml:space="preserve">- the </w:t>
            </w:r>
            <w:proofErr w:type="spellStart"/>
            <w:r w:rsidRPr="0008594F">
              <w:rPr>
                <w:rFonts w:ascii="Calibri" w:hAnsi="Calibri"/>
                <w:color w:val="000000"/>
                <w:lang w:val="en-US"/>
              </w:rPr>
              <w:t>transboundary</w:t>
            </w:r>
            <w:proofErr w:type="spellEnd"/>
            <w:r w:rsidRPr="0008594F">
              <w:rPr>
                <w:rFonts w:ascii="Calibri" w:hAnsi="Calibri"/>
                <w:color w:val="000000"/>
                <w:lang w:val="en-US"/>
              </w:rPr>
              <w:t xml:space="preserve"> nature of the effects:</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jc w:val="center"/>
              <w:rPr>
                <w:rFonts w:ascii="Calibri" w:hAnsi="Calibri"/>
                <w:color w:val="000000"/>
                <w:lang w:val="en-US"/>
              </w:rPr>
            </w:pPr>
            <w:r w:rsidRPr="0008594F">
              <w:rPr>
                <w:rFonts w:ascii="Calibri" w:hAnsi="Calibri"/>
                <w:color w:val="000000"/>
                <w:lang w:val="en-US"/>
              </w:rPr>
              <w:t xml:space="preserve">in respect to the </w:t>
            </w:r>
            <w:proofErr w:type="spellStart"/>
            <w:r w:rsidRPr="0008594F">
              <w:rPr>
                <w:rFonts w:ascii="Calibri" w:hAnsi="Calibri"/>
                <w:color w:val="000000"/>
                <w:lang w:val="en-US"/>
              </w:rPr>
              <w:t>ParticipatingCountries</w:t>
            </w:r>
            <w:proofErr w:type="spellEnd"/>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the risks to human health or the environment (e.g. due to accidents):</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jc w:val="center"/>
              <w:rPr>
                <w:rFonts w:ascii="Calibri" w:hAnsi="Calibri"/>
                <w:color w:val="000000"/>
                <w:lang w:val="en-US"/>
              </w:rPr>
            </w:pPr>
            <w:r w:rsidRPr="0008594F">
              <w:rPr>
                <w:rFonts w:ascii="Calibri" w:hAnsi="Calibri"/>
                <w:color w:val="000000"/>
                <w:lang w:val="en-US"/>
              </w:rPr>
              <w:t>risk exists</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the magnitude and spatial extent of the effects (geographical area and size of the population likely to be affected):</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jc w:val="center"/>
              <w:rPr>
                <w:rFonts w:ascii="Calibri" w:hAnsi="Calibri"/>
                <w:color w:val="000000"/>
                <w:lang w:val="en-US"/>
              </w:rPr>
            </w:pPr>
            <w:r w:rsidRPr="0008594F">
              <w:rPr>
                <w:rFonts w:ascii="Calibri" w:hAnsi="Calibri"/>
                <w:color w:val="000000"/>
                <w:lang w:val="en-US"/>
              </w:rPr>
              <w:t>widely</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the effects on areas or landscapes which have a recognized</w:t>
            </w:r>
            <w:r>
              <w:rPr>
                <w:rFonts w:ascii="Calibri" w:hAnsi="Calibri"/>
                <w:color w:val="000000"/>
                <w:lang w:val="en-US"/>
              </w:rPr>
              <w:t xml:space="preserve"> national, c</w:t>
            </w:r>
            <w:r w:rsidRPr="0008594F">
              <w:rPr>
                <w:rFonts w:ascii="Calibri" w:hAnsi="Calibri"/>
                <w:color w:val="000000"/>
                <w:lang w:val="en-US"/>
              </w:rPr>
              <w:t>ommunity or international protection status:</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jc w:val="center"/>
              <w:rPr>
                <w:rFonts w:ascii="Calibri" w:hAnsi="Calibri"/>
                <w:color w:val="000000"/>
                <w:lang w:val="en-US"/>
              </w:rPr>
            </w:pPr>
            <w:r w:rsidRPr="0008594F">
              <w:rPr>
                <w:rFonts w:ascii="Calibri" w:hAnsi="Calibri"/>
                <w:color w:val="000000"/>
                <w:lang w:val="en-US"/>
              </w:rPr>
              <w:t>interventions may affect protected areas</w:t>
            </w:r>
          </w:p>
        </w:tc>
      </w:tr>
      <w:tr w:rsidR="00E34DB5" w:rsidRPr="0008594F" w:rsidTr="00BA7240">
        <w:tc>
          <w:tcPr>
            <w:tcW w:w="9275" w:type="dxa"/>
            <w:gridSpan w:val="2"/>
            <w:tcBorders>
              <w:top w:val="single" w:sz="4" w:space="0" w:color="FFFFFF"/>
              <w:left w:val="single" w:sz="4" w:space="0" w:color="FFFFFF"/>
              <w:bottom w:val="single" w:sz="4" w:space="0" w:color="FFFFFF"/>
              <w:right w:val="single" w:sz="4" w:space="0" w:color="FFFFFF"/>
            </w:tcBorders>
            <w:shd w:val="clear" w:color="auto" w:fill="548DD4"/>
          </w:tcPr>
          <w:p w:rsidR="00E34DB5" w:rsidRPr="0008594F" w:rsidRDefault="00E34DB5" w:rsidP="00BA7240">
            <w:pPr>
              <w:spacing w:before="120" w:after="120"/>
              <w:jc w:val="both"/>
              <w:rPr>
                <w:rFonts w:ascii="Calibri" w:hAnsi="Calibri" w:cs="Arial"/>
                <w:b/>
                <w:color w:val="FFFFFF"/>
                <w:lang w:val="en-US" w:eastAsia="ro-RO"/>
              </w:rPr>
            </w:pPr>
            <w:r w:rsidRPr="0008594F">
              <w:rPr>
                <w:rFonts w:ascii="Calibri" w:hAnsi="Calibri" w:cs="Arial"/>
                <w:b/>
                <w:color w:val="FFFFFF"/>
                <w:lang w:val="en-US" w:eastAsia="ro-RO"/>
              </w:rPr>
              <w:t xml:space="preserve">According to the value and vulnerability of the </w:t>
            </w:r>
            <w:proofErr w:type="spellStart"/>
            <w:r w:rsidRPr="0008594F">
              <w:rPr>
                <w:rFonts w:ascii="Calibri" w:hAnsi="Calibri" w:cs="Arial"/>
                <w:b/>
                <w:color w:val="FFFFFF"/>
                <w:lang w:val="en-US" w:eastAsia="ro-RO"/>
              </w:rPr>
              <w:t>programme</w:t>
            </w:r>
            <w:proofErr w:type="spellEnd"/>
            <w:r w:rsidRPr="0008594F">
              <w:rPr>
                <w:rFonts w:ascii="Calibri" w:hAnsi="Calibri" w:cs="Arial"/>
                <w:b/>
                <w:color w:val="FFFFFF"/>
                <w:lang w:val="en-US" w:eastAsia="ro-RO"/>
              </w:rPr>
              <w:t xml:space="preserve"> area – likely to be affected:</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due to the specific natural characteristics or cultural heritage:</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such areas may be affected</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due to the exceeded environmental quality standards or limit values:</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such areas may be affected</w:t>
            </w:r>
          </w:p>
        </w:tc>
      </w:tr>
      <w:tr w:rsidR="00E34DB5" w:rsidRPr="0008594F" w:rsidTr="00BA7240">
        <w:tc>
          <w:tcPr>
            <w:tcW w:w="7621"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 xml:space="preserve">- </w:t>
            </w:r>
            <w:proofErr w:type="gramStart"/>
            <w:r w:rsidRPr="0008594F">
              <w:rPr>
                <w:rFonts w:ascii="Calibri" w:hAnsi="Calibri"/>
                <w:color w:val="000000"/>
                <w:lang w:val="en-US"/>
              </w:rPr>
              <w:t>due</w:t>
            </w:r>
            <w:proofErr w:type="gramEnd"/>
            <w:r w:rsidRPr="0008594F">
              <w:rPr>
                <w:rFonts w:ascii="Calibri" w:hAnsi="Calibri"/>
                <w:color w:val="000000"/>
                <w:lang w:val="en-US"/>
              </w:rPr>
              <w:t xml:space="preserve"> to intensive land use (such as areas of intensive agricultural or forestry growing, production, areas with dense population, etc.):</w:t>
            </w:r>
          </w:p>
        </w:tc>
        <w:tc>
          <w:tcPr>
            <w:tcW w:w="1654"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E34DB5" w:rsidRPr="0008594F" w:rsidRDefault="00E34DB5" w:rsidP="00BA7240">
            <w:pPr>
              <w:spacing w:before="120" w:after="120" w:line="300" w:lineRule="auto"/>
              <w:rPr>
                <w:rFonts w:ascii="Calibri" w:hAnsi="Calibri"/>
                <w:color w:val="000000"/>
                <w:lang w:val="en-US"/>
              </w:rPr>
            </w:pPr>
            <w:r w:rsidRPr="0008594F">
              <w:rPr>
                <w:rFonts w:ascii="Calibri" w:hAnsi="Calibri"/>
                <w:color w:val="000000"/>
                <w:lang w:val="en-US"/>
              </w:rPr>
              <w:t>such areas may be affected</w:t>
            </w:r>
          </w:p>
        </w:tc>
      </w:tr>
    </w:tbl>
    <w:p w:rsidR="00E34DB5" w:rsidRPr="0008594F" w:rsidRDefault="00E34DB5" w:rsidP="00E34DB5">
      <w:pPr>
        <w:spacing w:before="120" w:after="120" w:line="300" w:lineRule="auto"/>
        <w:rPr>
          <w:rFonts w:ascii="Calibri" w:hAnsi="Calibri"/>
          <w:color w:val="000000"/>
          <w:lang w:val="en-US"/>
        </w:rPr>
      </w:pPr>
    </w:p>
    <w:p w:rsidR="00E34DB5" w:rsidRPr="0008594F" w:rsidRDefault="00E34DB5" w:rsidP="00116D38">
      <w:pPr>
        <w:spacing w:before="120" w:after="120" w:line="300" w:lineRule="auto"/>
        <w:jc w:val="both"/>
        <w:rPr>
          <w:rFonts w:ascii="Calibri" w:hAnsi="Calibri"/>
          <w:color w:val="000000"/>
          <w:lang w:val="en-US"/>
        </w:rPr>
      </w:pPr>
      <w:r w:rsidRPr="0008594F">
        <w:rPr>
          <w:rFonts w:ascii="Calibri" w:hAnsi="Calibri"/>
          <w:color w:val="000000"/>
          <w:lang w:val="en-US"/>
        </w:rPr>
        <w:t>The HUSKROUA ENI CBC Programme2014-2020 puts the main focus on the protection of the environment and meeting climate change challenges,</w:t>
      </w:r>
      <w:r>
        <w:rPr>
          <w:rFonts w:ascii="Calibri" w:hAnsi="Calibri"/>
          <w:color w:val="000000"/>
          <w:lang w:val="en-US"/>
        </w:rPr>
        <w:t xml:space="preserve"> </w:t>
      </w:r>
      <w:r w:rsidRPr="0008594F">
        <w:rPr>
          <w:rFonts w:ascii="Calibri" w:hAnsi="Calibri"/>
          <w:color w:val="000000"/>
          <w:lang w:val="en-US"/>
        </w:rPr>
        <w:t>as well as on the support of transport, research and technological developments. The potential impacts are refer</w:t>
      </w:r>
      <w:r>
        <w:rPr>
          <w:rFonts w:ascii="Calibri" w:hAnsi="Calibri"/>
          <w:color w:val="000000"/>
          <w:lang w:val="en-US"/>
        </w:rPr>
        <w:t>r</w:t>
      </w:r>
      <w:r w:rsidRPr="0008594F">
        <w:rPr>
          <w:rFonts w:ascii="Calibri" w:hAnsi="Calibri"/>
          <w:color w:val="000000"/>
          <w:lang w:val="en-US"/>
        </w:rPr>
        <w:t>ing also to environmental purposes and to sustainable development.</w:t>
      </w:r>
    </w:p>
    <w:p w:rsidR="00E34DB5" w:rsidRDefault="00285EDD" w:rsidP="001F7A55">
      <w:pPr>
        <w:spacing w:before="120" w:after="120" w:line="300" w:lineRule="auto"/>
        <w:jc w:val="both"/>
        <w:rPr>
          <w:rStyle w:val="apple-style-span"/>
          <w:color w:val="auto"/>
          <w:lang w:val="en-US"/>
        </w:rPr>
      </w:pPr>
      <w:r>
        <w:rPr>
          <w:rStyle w:val="apple-style-span"/>
          <w:b/>
          <w:color w:val="auto"/>
          <w:lang w:val="en-US"/>
        </w:rPr>
        <w:t>Parts and c</w:t>
      </w:r>
      <w:r w:rsidR="00116D38">
        <w:rPr>
          <w:rStyle w:val="apple-style-span"/>
          <w:b/>
          <w:color w:val="auto"/>
          <w:lang w:val="en-US"/>
        </w:rPr>
        <w:t>ontent of the Environmental R</w:t>
      </w:r>
      <w:r w:rsidR="00E34DB5" w:rsidRPr="00E34DB5">
        <w:rPr>
          <w:rStyle w:val="apple-style-span"/>
          <w:b/>
          <w:color w:val="auto"/>
          <w:lang w:val="en-US"/>
        </w:rPr>
        <w:t xml:space="preserve">eport </w:t>
      </w:r>
      <w:r w:rsidR="00E34DB5" w:rsidRPr="0008594F">
        <w:rPr>
          <w:rFonts w:ascii="Calibri" w:hAnsi="Calibri"/>
          <w:color w:val="000000"/>
          <w:lang w:val="en-US"/>
        </w:rPr>
        <w:t>(including public consultation and the integration of comments from the consultation process in all Participating Countries)</w:t>
      </w:r>
      <w:r w:rsidR="00E34DB5">
        <w:rPr>
          <w:rStyle w:val="apple-style-span"/>
          <w:color w:val="auto"/>
          <w:lang w:val="en-US"/>
        </w:rPr>
        <w:t>:</w:t>
      </w:r>
    </w:p>
    <w:p w:rsidR="00E34DB5" w:rsidRDefault="00E34DB5" w:rsidP="001F7A55">
      <w:pPr>
        <w:spacing w:before="120" w:after="120" w:line="300" w:lineRule="auto"/>
        <w:jc w:val="both"/>
        <w:rPr>
          <w:rStyle w:val="apple-style-span"/>
          <w:color w:val="auto"/>
          <w:lang w:val="en-US"/>
        </w:rPr>
      </w:pPr>
      <w:r w:rsidRPr="0008594F">
        <w:rPr>
          <w:rFonts w:ascii="Calibri" w:hAnsi="Calibri"/>
          <w:color w:val="000000"/>
          <w:lang w:val="en-US"/>
        </w:rPr>
        <w:t xml:space="preserve">The Environmental Report comprises information which can be gathered with reasonable efforts and takes into account the available information, comments received from the </w:t>
      </w:r>
      <w:r w:rsidR="00116D38">
        <w:rPr>
          <w:rFonts w:ascii="Calibri" w:hAnsi="Calibri"/>
          <w:color w:val="000000"/>
          <w:lang w:val="en-US"/>
        </w:rPr>
        <w:t>Joint Task Force</w:t>
      </w:r>
      <w:r w:rsidRPr="0008594F">
        <w:rPr>
          <w:rFonts w:ascii="Calibri" w:hAnsi="Calibri"/>
          <w:color w:val="000000"/>
          <w:lang w:val="en-US"/>
        </w:rPr>
        <w:t xml:space="preserve">, commonly applied audit methods as well as scope and level of detail of the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While </w:t>
      </w:r>
      <w:r w:rsidRPr="0008594F">
        <w:rPr>
          <w:rFonts w:ascii="Calibri" w:hAnsi="Calibri"/>
          <w:color w:val="000000"/>
          <w:lang w:val="en-US"/>
        </w:rPr>
        <w:lastRenderedPageBreak/>
        <w:t xml:space="preserve">several countries take part in the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the Environmental Report will be a joint Report for the whole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area. The Environmental Report will present clear suggestions for the organizations responsible for the elaboration of the Joint </w:t>
      </w:r>
      <w:r>
        <w:rPr>
          <w:rStyle w:val="apple-style-span"/>
          <w:color w:val="auto"/>
          <w:lang w:val="en-US"/>
        </w:rPr>
        <w:t xml:space="preserve">Operational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of the period 2014-2020 of the cross-border eligible area of Hungary, Slovakia, Romania and Ukraine based on facts and the special nature of the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The content of the Environmental Report </w:t>
      </w:r>
      <w:r>
        <w:rPr>
          <w:rFonts w:ascii="Calibri" w:hAnsi="Calibri"/>
          <w:color w:val="000000"/>
          <w:lang w:val="en-US"/>
        </w:rPr>
        <w:t>will be</w:t>
      </w:r>
      <w:r w:rsidRPr="0008594F">
        <w:rPr>
          <w:rFonts w:ascii="Calibri" w:hAnsi="Calibri"/>
          <w:color w:val="000000"/>
          <w:lang w:val="en-US"/>
        </w:rPr>
        <w:t xml:space="preserve"> based on the SEA Directive (Directive 2001/42/EC)</w:t>
      </w:r>
      <w:r>
        <w:rPr>
          <w:rFonts w:ascii="Calibri" w:hAnsi="Calibri"/>
          <w:color w:val="000000"/>
          <w:lang w:val="en-US"/>
        </w:rPr>
        <w:t xml:space="preserve"> and will strictly follow the Annex 1 of the Directive</w:t>
      </w:r>
      <w:r w:rsidRPr="0008594F">
        <w:rPr>
          <w:rFonts w:ascii="Calibri" w:hAnsi="Calibri"/>
          <w:color w:val="000000"/>
          <w:lang w:val="en-US"/>
        </w:rPr>
        <w:t>.</w:t>
      </w:r>
    </w:p>
    <w:p w:rsidR="00E34DB5" w:rsidRPr="0008594F" w:rsidRDefault="00E34DB5" w:rsidP="00E34DB5">
      <w:pPr>
        <w:spacing w:before="120" w:after="120" w:line="300" w:lineRule="auto"/>
        <w:jc w:val="both"/>
        <w:rPr>
          <w:rFonts w:ascii="Calibri" w:hAnsi="Calibri"/>
          <w:color w:val="000000"/>
          <w:lang w:val="en-US"/>
        </w:rPr>
      </w:pPr>
      <w:r w:rsidRPr="0008594F">
        <w:rPr>
          <w:rFonts w:ascii="Calibri" w:hAnsi="Calibri"/>
          <w:color w:val="000000"/>
          <w:lang w:val="en-US"/>
        </w:rPr>
        <w:t xml:space="preserve">According to Art.6 and Art.7 of the SEA Directive the Environmental Report and the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must be made available to the relevant authorities and the public. Official consultation process in accordance with SEA Directive Article will be carried out.</w:t>
      </w:r>
    </w:p>
    <w:p w:rsidR="00E34DB5" w:rsidRPr="0008594F" w:rsidRDefault="00E34DB5" w:rsidP="00E34DB5">
      <w:pPr>
        <w:spacing w:before="120" w:after="120" w:line="300" w:lineRule="auto"/>
        <w:jc w:val="both"/>
        <w:rPr>
          <w:rFonts w:ascii="Calibri" w:hAnsi="Calibri"/>
          <w:color w:val="000000"/>
          <w:lang w:val="en-US"/>
        </w:rPr>
      </w:pPr>
      <w:r w:rsidRPr="0008594F">
        <w:rPr>
          <w:rFonts w:ascii="Calibri" w:hAnsi="Calibri"/>
          <w:color w:val="000000"/>
          <w:lang w:val="en-US"/>
        </w:rPr>
        <w:t>The possible remarks of the environmental authorities will be integrated into the final Scoping Report and into the Environmental Report.</w:t>
      </w:r>
    </w:p>
    <w:p w:rsidR="00E34DB5" w:rsidRDefault="00E34DB5" w:rsidP="00E34DB5">
      <w:pPr>
        <w:spacing w:before="120" w:after="120" w:line="300" w:lineRule="auto"/>
        <w:jc w:val="both"/>
        <w:rPr>
          <w:rFonts w:ascii="Calibri" w:hAnsi="Calibri"/>
          <w:color w:val="000000"/>
          <w:lang w:val="en-US"/>
        </w:rPr>
      </w:pPr>
      <w:r w:rsidRPr="0008594F">
        <w:rPr>
          <w:rFonts w:ascii="Calibri" w:hAnsi="Calibri"/>
          <w:color w:val="000000"/>
          <w:lang w:val="en-US"/>
        </w:rPr>
        <w:t xml:space="preserve">The Environmental Report will be available for consultation at the same time with the draft </w:t>
      </w:r>
      <w:r>
        <w:rPr>
          <w:rStyle w:val="apple-style-span"/>
          <w:color w:val="auto"/>
          <w:lang w:val="en-US"/>
        </w:rPr>
        <w:t xml:space="preserve">Operational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(SEA Directive - Article 6.2 and Annex 1). Subsequent to the consultation responses collected, an explanation shall be given on how the Environmental Report and consultation comments have been taken into consideration in the </w:t>
      </w:r>
      <w:r>
        <w:rPr>
          <w:rStyle w:val="apple-style-span"/>
          <w:color w:val="auto"/>
          <w:lang w:val="en-US"/>
        </w:rPr>
        <w:t xml:space="preserve">Operational </w:t>
      </w:r>
      <w:proofErr w:type="spellStart"/>
      <w:r w:rsidRPr="0008594F">
        <w:rPr>
          <w:rFonts w:ascii="Calibri" w:hAnsi="Calibri"/>
          <w:color w:val="000000"/>
          <w:lang w:val="en-US"/>
        </w:rPr>
        <w:t>Programme</w:t>
      </w:r>
      <w:proofErr w:type="spellEnd"/>
      <w:r w:rsidRPr="0008594F">
        <w:rPr>
          <w:rFonts w:ascii="Calibri" w:hAnsi="Calibri"/>
          <w:color w:val="000000"/>
          <w:lang w:val="en-US"/>
        </w:rPr>
        <w:t xml:space="preserve"> (SEA Directive - Article 8).</w:t>
      </w:r>
    </w:p>
    <w:p w:rsidR="00285EDD" w:rsidRDefault="00285EDD" w:rsidP="00E34DB5">
      <w:pPr>
        <w:spacing w:before="120" w:after="120" w:line="300" w:lineRule="auto"/>
        <w:jc w:val="both"/>
        <w:rPr>
          <w:rFonts w:ascii="Calibri" w:hAnsi="Calibri"/>
          <w:color w:val="000000"/>
          <w:lang w:val="en-US"/>
        </w:rPr>
      </w:pPr>
      <w:r w:rsidRPr="0008594F">
        <w:rPr>
          <w:rFonts w:ascii="Calibri" w:hAnsi="Calibri"/>
          <w:color w:val="000000"/>
          <w:lang w:val="en-US"/>
        </w:rPr>
        <w:t xml:space="preserve">The final version of the SEA Report will be prepared taking into consideration the received opinions from the consultation process. </w:t>
      </w:r>
      <w:proofErr w:type="gramStart"/>
      <w:r w:rsidRPr="0008594F">
        <w:rPr>
          <w:rFonts w:ascii="Calibri" w:hAnsi="Calibri"/>
          <w:color w:val="000000"/>
          <w:lang w:val="en-US"/>
        </w:rPr>
        <w:t>Monitoring the significant effects of implementing the JOP on the environment.</w:t>
      </w:r>
      <w:proofErr w:type="gramEnd"/>
      <w:r w:rsidRPr="0008594F">
        <w:rPr>
          <w:rFonts w:ascii="Calibri" w:hAnsi="Calibri"/>
          <w:color w:val="000000"/>
          <w:lang w:val="en-US"/>
        </w:rPr>
        <w:t xml:space="preserve"> SEA objectives should derive from environmental objectives, from baseline information and from environmental problems in order to test the environmental effects of the JOP. The consultation bodies may also suggest SEA objectives.</w:t>
      </w:r>
    </w:p>
    <w:p w:rsidR="00285EDD" w:rsidRDefault="00285EDD" w:rsidP="00285EDD">
      <w:pPr>
        <w:pStyle w:val="Tanulmnyszveg"/>
        <w:rPr>
          <w:lang w:val="en-US"/>
        </w:rPr>
      </w:pPr>
    </w:p>
    <w:p w:rsidR="00285EDD" w:rsidRPr="0008594F" w:rsidRDefault="00285EDD" w:rsidP="00285EDD">
      <w:pPr>
        <w:pStyle w:val="Tanulmnyszveg"/>
        <w:rPr>
          <w:lang w:val="en-US"/>
        </w:rPr>
      </w:pPr>
      <w:r w:rsidRPr="0008594F">
        <w:rPr>
          <w:lang w:val="en-US"/>
        </w:rPr>
        <w:t>The Environmental Report includes the following sections which are required by the SEA Directive (Directive 2001/42/EC of June 27, 2001):</w:t>
      </w:r>
    </w:p>
    <w:p w:rsidR="00285EDD" w:rsidRPr="0008594F" w:rsidRDefault="00285EDD" w:rsidP="00285EDD">
      <w:pPr>
        <w:pStyle w:val="Tanulmnyszveg"/>
        <w:rPr>
          <w:lang w:val="en-US"/>
        </w:rPr>
      </w:pPr>
      <w:r w:rsidRPr="0008594F">
        <w:rPr>
          <w:lang w:val="en-US"/>
        </w:rPr>
        <w:t>Part A: non-technical summary of the Environmental Report</w:t>
      </w:r>
    </w:p>
    <w:p w:rsidR="00285EDD" w:rsidRPr="00116D38" w:rsidRDefault="00285EDD" w:rsidP="00285EDD">
      <w:pPr>
        <w:pStyle w:val="Listaszerbekezds"/>
        <w:numPr>
          <w:ilvl w:val="0"/>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An easy-to-read non-technical summary, which allows for the dissemination of the content of the Environmental Report to the general public.</w:t>
      </w:r>
    </w:p>
    <w:p w:rsidR="00285EDD" w:rsidRPr="0008594F" w:rsidRDefault="00285EDD" w:rsidP="00285EDD">
      <w:pPr>
        <w:pStyle w:val="Tanulmnyszveg"/>
        <w:rPr>
          <w:lang w:val="en-US"/>
        </w:rPr>
      </w:pPr>
      <w:r w:rsidRPr="0008594F">
        <w:rPr>
          <w:lang w:val="en-US"/>
        </w:rPr>
        <w:t>Part B: the environmental report</w:t>
      </w:r>
    </w:p>
    <w:p w:rsidR="00285EDD" w:rsidRPr="00116D38" w:rsidRDefault="00285EDD" w:rsidP="00285EDD">
      <w:pPr>
        <w:pStyle w:val="Listaszerbekezds"/>
        <w:numPr>
          <w:ilvl w:val="0"/>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the chapters of the Environmental Report will fully follow the Annex 1 of the SEA Directive</w:t>
      </w:r>
    </w:p>
    <w:p w:rsidR="00285EDD" w:rsidRPr="00116D38" w:rsidRDefault="00285EDD" w:rsidP="00285EDD">
      <w:pPr>
        <w:pStyle w:val="Listaszerbekezds"/>
        <w:numPr>
          <w:ilvl w:val="0"/>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the Environmental Report will include a description of the public consultation and will describe the consultation process to be carried out</w:t>
      </w:r>
    </w:p>
    <w:p w:rsidR="00285EDD" w:rsidRPr="00116D38" w:rsidRDefault="00285EDD" w:rsidP="00285EDD">
      <w:pPr>
        <w:pStyle w:val="Listaszerbekezds"/>
        <w:numPr>
          <w:ilvl w:val="0"/>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 xml:space="preserve">Chapter „The measures envisaged to prevent, reduce and as fully as possible offset any significant adverse effects on the environment of implementing the plan or </w:t>
      </w:r>
      <w:proofErr w:type="spellStart"/>
      <w:r w:rsidRPr="00116D38">
        <w:rPr>
          <w:rFonts w:ascii="Calibri" w:hAnsi="Calibri"/>
          <w:color w:val="000000"/>
          <w:sz w:val="22"/>
          <w:lang w:val="en-US"/>
        </w:rPr>
        <w:t>programme</w:t>
      </w:r>
      <w:proofErr w:type="spellEnd"/>
      <w:r w:rsidRPr="00116D38">
        <w:rPr>
          <w:rFonts w:ascii="Calibri" w:hAnsi="Calibri"/>
          <w:color w:val="000000"/>
          <w:sz w:val="22"/>
          <w:lang w:val="en-US"/>
        </w:rPr>
        <w:t xml:space="preserve">” present the description of the planned monitoring measures on how the monitoring of the environmental effects of the implementation of the </w:t>
      </w:r>
      <w:proofErr w:type="spellStart"/>
      <w:r w:rsidRPr="00116D38">
        <w:rPr>
          <w:rFonts w:ascii="Calibri" w:hAnsi="Calibri"/>
          <w:color w:val="000000"/>
          <w:sz w:val="22"/>
          <w:lang w:val="en-US"/>
        </w:rPr>
        <w:t>programme</w:t>
      </w:r>
      <w:proofErr w:type="spellEnd"/>
      <w:r w:rsidRPr="00116D38">
        <w:rPr>
          <w:rFonts w:ascii="Calibri" w:hAnsi="Calibri"/>
          <w:color w:val="000000"/>
          <w:sz w:val="22"/>
          <w:lang w:val="en-US"/>
        </w:rPr>
        <w:t xml:space="preserve"> should be carried out.</w:t>
      </w:r>
    </w:p>
    <w:p w:rsidR="00285EDD" w:rsidRPr="0008594F" w:rsidRDefault="00285EDD" w:rsidP="00285EDD">
      <w:pPr>
        <w:pStyle w:val="Tanulmnyszveg"/>
        <w:rPr>
          <w:lang w:val="en-US"/>
        </w:rPr>
      </w:pPr>
      <w:r w:rsidRPr="0008594F">
        <w:rPr>
          <w:lang w:val="en-US"/>
        </w:rPr>
        <w:lastRenderedPageBreak/>
        <w:t>Part C: statement summarizing how the environmental consideration has been integrated into the OP</w:t>
      </w:r>
    </w:p>
    <w:p w:rsidR="00285EDD" w:rsidRPr="00116D38" w:rsidRDefault="00285EDD" w:rsidP="00285EDD">
      <w:pPr>
        <w:pStyle w:val="Listaszerbekezds"/>
        <w:numPr>
          <w:ilvl w:val="0"/>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 xml:space="preserve">According to Article 9(b) of the Directive on the assessment of the certain plans and </w:t>
      </w:r>
      <w:proofErr w:type="spellStart"/>
      <w:r w:rsidRPr="00116D38">
        <w:rPr>
          <w:rFonts w:ascii="Calibri" w:hAnsi="Calibri"/>
          <w:color w:val="000000"/>
          <w:sz w:val="22"/>
          <w:lang w:val="en-US"/>
        </w:rPr>
        <w:t>programmes</w:t>
      </w:r>
      <w:proofErr w:type="spellEnd"/>
      <w:r w:rsidRPr="00116D38">
        <w:rPr>
          <w:rFonts w:ascii="Calibri" w:hAnsi="Calibri"/>
          <w:color w:val="000000"/>
          <w:sz w:val="22"/>
          <w:lang w:val="en-US"/>
        </w:rPr>
        <w:t xml:space="preserve"> on the environment, the environmental statement has been prepared on the basis of the OP and includes</w:t>
      </w:r>
    </w:p>
    <w:p w:rsidR="00285EDD" w:rsidRPr="00116D38" w:rsidRDefault="00285EDD" w:rsidP="00285EDD">
      <w:pPr>
        <w:pStyle w:val="Listaszerbekezds"/>
        <w:numPr>
          <w:ilvl w:val="1"/>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 xml:space="preserve">A short description of the content and the most important </w:t>
      </w:r>
      <w:proofErr w:type="spellStart"/>
      <w:r w:rsidRPr="00116D38">
        <w:rPr>
          <w:rFonts w:ascii="Calibri" w:hAnsi="Calibri"/>
          <w:color w:val="000000"/>
          <w:sz w:val="22"/>
          <w:lang w:val="en-US"/>
        </w:rPr>
        <w:t>programme</w:t>
      </w:r>
      <w:proofErr w:type="spellEnd"/>
      <w:r w:rsidRPr="00116D38">
        <w:rPr>
          <w:rFonts w:ascii="Calibri" w:hAnsi="Calibri"/>
          <w:color w:val="000000"/>
          <w:sz w:val="22"/>
          <w:lang w:val="en-US"/>
        </w:rPr>
        <w:t xml:space="preserve"> objectives as well as of the relation to other relevant plans and </w:t>
      </w:r>
      <w:proofErr w:type="spellStart"/>
      <w:r w:rsidRPr="00116D38">
        <w:rPr>
          <w:rFonts w:ascii="Calibri" w:hAnsi="Calibri"/>
          <w:color w:val="000000"/>
          <w:sz w:val="22"/>
          <w:lang w:val="en-US"/>
        </w:rPr>
        <w:t>programmes</w:t>
      </w:r>
      <w:proofErr w:type="spellEnd"/>
      <w:r w:rsidRPr="00116D38">
        <w:rPr>
          <w:rFonts w:ascii="Calibri" w:hAnsi="Calibri"/>
          <w:color w:val="000000"/>
          <w:sz w:val="22"/>
          <w:lang w:val="en-US"/>
        </w:rPr>
        <w:t>,</w:t>
      </w:r>
    </w:p>
    <w:p w:rsidR="00285EDD" w:rsidRPr="00116D38" w:rsidRDefault="00285EDD" w:rsidP="00285EDD">
      <w:pPr>
        <w:pStyle w:val="Listaszerbekezds"/>
        <w:numPr>
          <w:ilvl w:val="1"/>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 xml:space="preserve">A description of the environmental objectives relevant to the </w:t>
      </w:r>
      <w:proofErr w:type="spellStart"/>
      <w:r w:rsidRPr="00116D38">
        <w:rPr>
          <w:rFonts w:ascii="Calibri" w:hAnsi="Calibri"/>
          <w:color w:val="000000"/>
          <w:sz w:val="22"/>
          <w:lang w:val="en-US"/>
        </w:rPr>
        <w:t>programme</w:t>
      </w:r>
      <w:proofErr w:type="spellEnd"/>
      <w:r w:rsidRPr="00116D38">
        <w:rPr>
          <w:rFonts w:ascii="Calibri" w:hAnsi="Calibri"/>
          <w:color w:val="000000"/>
          <w:sz w:val="22"/>
          <w:lang w:val="en-US"/>
        </w:rPr>
        <w:t xml:space="preserve"> and the account taken of them,</w:t>
      </w:r>
    </w:p>
    <w:p w:rsidR="00285EDD" w:rsidRPr="00116D38" w:rsidRDefault="00285EDD" w:rsidP="00285EDD">
      <w:pPr>
        <w:pStyle w:val="Listaszerbekezds"/>
        <w:numPr>
          <w:ilvl w:val="1"/>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 xml:space="preserve">The description of the status quo and its presumable development in the case the </w:t>
      </w:r>
      <w:proofErr w:type="spellStart"/>
      <w:r w:rsidRPr="00116D38">
        <w:rPr>
          <w:rFonts w:ascii="Calibri" w:hAnsi="Calibri"/>
          <w:color w:val="000000"/>
          <w:sz w:val="22"/>
          <w:lang w:val="en-US"/>
        </w:rPr>
        <w:t>programme</w:t>
      </w:r>
      <w:proofErr w:type="spellEnd"/>
      <w:r w:rsidRPr="00116D38">
        <w:rPr>
          <w:rFonts w:ascii="Calibri" w:hAnsi="Calibri"/>
          <w:color w:val="000000"/>
          <w:sz w:val="22"/>
          <w:lang w:val="en-US"/>
        </w:rPr>
        <w:t xml:space="preserve"> is not implemented,</w:t>
      </w:r>
    </w:p>
    <w:p w:rsidR="00285EDD" w:rsidRPr="00116D38" w:rsidRDefault="00285EDD" w:rsidP="00285EDD">
      <w:pPr>
        <w:pStyle w:val="Listaszerbekezds"/>
        <w:numPr>
          <w:ilvl w:val="1"/>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A description of the presumable considerable impacts on the environment,</w:t>
      </w:r>
    </w:p>
    <w:p w:rsidR="00285EDD" w:rsidRPr="00116D38" w:rsidRDefault="00285EDD" w:rsidP="00285EDD">
      <w:pPr>
        <w:pStyle w:val="Listaszerbekezds"/>
        <w:numPr>
          <w:ilvl w:val="1"/>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The short description of the environment protection objectives,</w:t>
      </w:r>
    </w:p>
    <w:p w:rsidR="00285EDD" w:rsidRPr="00116D38" w:rsidRDefault="00285EDD" w:rsidP="00285EDD">
      <w:pPr>
        <w:pStyle w:val="Listaszerbekezds"/>
        <w:numPr>
          <w:ilvl w:val="1"/>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The description of measures that are planned in order to prevent, to reduce and to compensate for the considerably harmful environmental impacts,</w:t>
      </w:r>
    </w:p>
    <w:p w:rsidR="00285EDD" w:rsidRPr="00116D38" w:rsidRDefault="00285EDD" w:rsidP="00285EDD">
      <w:pPr>
        <w:pStyle w:val="Listaszerbekezds"/>
        <w:numPr>
          <w:ilvl w:val="1"/>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A short description of the reasons for the choice of the alternatives examined and a description of the way the how the SEA has been implemented,</w:t>
      </w:r>
    </w:p>
    <w:p w:rsidR="00285EDD" w:rsidRPr="00116D38" w:rsidRDefault="00285EDD" w:rsidP="00285EDD">
      <w:pPr>
        <w:pStyle w:val="Listaszerbekezds"/>
        <w:numPr>
          <w:ilvl w:val="1"/>
          <w:numId w:val="6"/>
        </w:numPr>
        <w:spacing w:before="120" w:after="120" w:line="300" w:lineRule="auto"/>
        <w:rPr>
          <w:rFonts w:ascii="Calibri" w:hAnsi="Calibri"/>
          <w:color w:val="000000"/>
          <w:sz w:val="22"/>
          <w:lang w:val="en-US"/>
        </w:rPr>
      </w:pPr>
      <w:r w:rsidRPr="00116D38">
        <w:rPr>
          <w:rFonts w:ascii="Calibri" w:hAnsi="Calibri"/>
          <w:color w:val="000000"/>
          <w:sz w:val="22"/>
          <w:lang w:val="en-US"/>
        </w:rPr>
        <w:t>Evidence of difficulties which have occurred during the compilation of information.</w:t>
      </w:r>
    </w:p>
    <w:p w:rsidR="00B0364C" w:rsidRPr="00B0364C" w:rsidRDefault="00B0364C" w:rsidP="00B0364C">
      <w:pPr>
        <w:pStyle w:val="Tanulmnyszveg"/>
        <w:rPr>
          <w:lang w:val="en-US"/>
        </w:rPr>
      </w:pPr>
      <w:r w:rsidRPr="00B0364C">
        <w:rPr>
          <w:lang w:val="en-US"/>
        </w:rPr>
        <w:t xml:space="preserve">This Executive Summary </w:t>
      </w:r>
      <w:r w:rsidR="004454FA">
        <w:rPr>
          <w:lang w:val="en-US"/>
        </w:rPr>
        <w:t>is</w:t>
      </w:r>
      <w:r w:rsidRPr="00B0364C">
        <w:rPr>
          <w:lang w:val="en-US"/>
        </w:rPr>
        <w:t xml:space="preserve"> based on the Scoping Report of the HUSKROUA ENI CBC Programme2014-2020. </w:t>
      </w:r>
      <w:r w:rsidR="004454FA">
        <w:rPr>
          <w:lang w:val="en-US"/>
        </w:rPr>
        <w:t xml:space="preserve">The </w:t>
      </w:r>
      <w:r w:rsidRPr="00B0364C">
        <w:rPr>
          <w:lang w:val="en-US"/>
        </w:rPr>
        <w:t xml:space="preserve">Scoping Report is provided for the environmental authorities for their decision on the likely significance of effects of the </w:t>
      </w:r>
      <w:r w:rsidR="00CB0684">
        <w:rPr>
          <w:lang w:val="en-US"/>
        </w:rPr>
        <w:t xml:space="preserve">Joint </w:t>
      </w:r>
      <w:r w:rsidRPr="00B0364C">
        <w:rPr>
          <w:lang w:val="en-US"/>
        </w:rPr>
        <w:t xml:space="preserve">Operational </w:t>
      </w:r>
      <w:proofErr w:type="spellStart"/>
      <w:r w:rsidRPr="00B0364C">
        <w:rPr>
          <w:lang w:val="en-US"/>
        </w:rPr>
        <w:t>Programme</w:t>
      </w:r>
      <w:proofErr w:type="spellEnd"/>
      <w:r w:rsidRPr="00B0364C">
        <w:rPr>
          <w:lang w:val="en-US"/>
        </w:rPr>
        <w:t xml:space="preserve"> </w:t>
      </w:r>
      <w:r w:rsidR="00CB0684" w:rsidRPr="00B0364C">
        <w:rPr>
          <w:lang w:val="en-US"/>
        </w:rPr>
        <w:t>for the HUSKROUA ENI CBC Programme2014-2020</w:t>
      </w:r>
      <w:r w:rsidR="00CB0684">
        <w:rPr>
          <w:lang w:val="en-US"/>
        </w:rPr>
        <w:t>.</w:t>
      </w:r>
    </w:p>
    <w:p w:rsidR="00B0364C" w:rsidRPr="00B0364C" w:rsidRDefault="00B0364C" w:rsidP="00B0364C">
      <w:pPr>
        <w:pStyle w:val="Tanulmnyszveg"/>
        <w:rPr>
          <w:lang w:val="en-US"/>
        </w:rPr>
      </w:pPr>
      <w:r w:rsidRPr="00B0364C">
        <w:rPr>
          <w:lang w:val="en-US"/>
        </w:rPr>
        <w:t>Environmental authorities have 30 days to send their remarks in English language. The possible remarks of the environmental authorities will be integrated into the final scoping report and into the environmental report. Non-reception of comments will be considered as approval of the document. The</w:t>
      </w:r>
      <w:r w:rsidR="004454FA">
        <w:rPr>
          <w:lang w:val="en-US"/>
        </w:rPr>
        <w:t xml:space="preserve"> Scoping</w:t>
      </w:r>
      <w:r w:rsidRPr="00B0364C">
        <w:rPr>
          <w:lang w:val="en-US"/>
        </w:rPr>
        <w:t xml:space="preserve"> Report is available in English language in PDF format on the </w:t>
      </w:r>
      <w:proofErr w:type="spellStart"/>
      <w:r w:rsidRPr="004454FA">
        <w:rPr>
          <w:lang w:val="en-US"/>
        </w:rPr>
        <w:t>Programmes’s</w:t>
      </w:r>
      <w:proofErr w:type="spellEnd"/>
      <w:r w:rsidRPr="004454FA">
        <w:rPr>
          <w:lang w:val="en-US"/>
        </w:rPr>
        <w:t xml:space="preserve"> website</w:t>
      </w:r>
      <w:r w:rsidR="005C0E51">
        <w:rPr>
          <w:lang w:val="en-US"/>
        </w:rPr>
        <w:t>.</w:t>
      </w:r>
    </w:p>
    <w:sectPr w:rsidR="00B0364C" w:rsidRPr="00B0364C" w:rsidSect="00447B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B93" w:rsidRDefault="00865B93" w:rsidP="00E34DB5">
      <w:pPr>
        <w:spacing w:after="0" w:line="240" w:lineRule="auto"/>
      </w:pPr>
      <w:r>
        <w:separator/>
      </w:r>
    </w:p>
  </w:endnote>
  <w:endnote w:type="continuationSeparator" w:id="0">
    <w:p w:rsidR="00865B93" w:rsidRDefault="00865B93" w:rsidP="00E34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H_Futura Light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E46" w:rsidRDefault="003F643C" w:rsidP="00313F4E">
    <w:pPr>
      <w:pStyle w:val="llb"/>
      <w:pBdr>
        <w:top w:val="none" w:sz="0" w:space="0" w:color="auto"/>
      </w:pBdr>
      <w:spacing w:line="240" w:lineRule="auto"/>
      <w:jc w:val="right"/>
    </w:pPr>
    <w:r>
      <w:rPr>
        <w:noProof/>
        <w:lang w:eastAsia="hu-HU"/>
      </w:rPr>
      <w:pict>
        <v:rect id="_x0000_i1025" style="width:0;height:1.5pt" o:hralign="center" o:hrstd="t" o:hr="t" fillcolor="#a0a0a0" stroked="f"/>
      </w:pict>
    </w:r>
  </w:p>
  <w:tbl>
    <w:tblPr>
      <w:tblW w:w="0" w:type="auto"/>
      <w:tblLook w:val="00A0" w:firstRow="1" w:lastRow="0" w:firstColumn="1" w:lastColumn="0" w:noHBand="0" w:noVBand="0"/>
    </w:tblPr>
    <w:tblGrid>
      <w:gridCol w:w="4812"/>
      <w:gridCol w:w="4652"/>
    </w:tblGrid>
    <w:tr w:rsidR="00ED5E46" w:rsidTr="008974F9">
      <w:tc>
        <w:tcPr>
          <w:tcW w:w="4812" w:type="dxa"/>
          <w:vAlign w:val="center"/>
        </w:tcPr>
        <w:p w:rsidR="00ED5E46" w:rsidRDefault="003F643C" w:rsidP="008974F9">
          <w:pPr>
            <w:pStyle w:val="llb"/>
            <w:pBdr>
              <w:top w:val="none" w:sz="0" w:space="0" w:color="auto"/>
            </w:pBdr>
            <w:tabs>
              <w:tab w:val="clear" w:pos="9072"/>
              <w:tab w:val="left" w:pos="1560"/>
              <w:tab w:val="right" w:pos="9781"/>
            </w:tabs>
            <w:spacing w:line="240" w:lineRule="auto"/>
          </w:pPr>
          <w:r>
            <w:rPr>
              <w:noProof/>
              <w:lang w:val="hu-HU"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20" o:spid="_x0000_i1026" type="#_x0000_t75" style="width:68.25pt;height:35.25pt;visibility:visible">
                <v:imagedata r:id="rId1" o:title=""/>
              </v:shape>
            </w:pict>
          </w:r>
          <w:r>
            <w:rPr>
              <w:noProof/>
              <w:lang w:val="hu-HU" w:eastAsia="hu-HU"/>
            </w:rPr>
            <w:pict>
              <v:shape id="Kép 21" o:spid="_x0000_i1027" type="#_x0000_t75" style="width:52.5pt;height:33pt;visibility:visible">
                <v:imagedata r:id="rId2" o:title=""/>
              </v:shape>
            </w:pict>
          </w:r>
        </w:p>
      </w:tc>
      <w:tc>
        <w:tcPr>
          <w:tcW w:w="4652" w:type="dxa"/>
          <w:vAlign w:val="center"/>
        </w:tcPr>
        <w:p w:rsidR="00ED5E46" w:rsidRPr="008974F9" w:rsidRDefault="00865B93" w:rsidP="008974F9">
          <w:pPr>
            <w:pStyle w:val="llb"/>
            <w:pBdr>
              <w:top w:val="none" w:sz="0" w:space="0" w:color="auto"/>
            </w:pBdr>
            <w:tabs>
              <w:tab w:val="clear" w:pos="9072"/>
              <w:tab w:val="left" w:pos="1560"/>
              <w:tab w:val="right" w:pos="9781"/>
            </w:tabs>
            <w:spacing w:line="240" w:lineRule="auto"/>
            <w:jc w:val="right"/>
            <w:rPr>
              <w:sz w:val="22"/>
              <w:szCs w:val="22"/>
            </w:rPr>
          </w:pPr>
          <w:r w:rsidRPr="008974F9">
            <w:rPr>
              <w:sz w:val="22"/>
              <w:szCs w:val="22"/>
            </w:rPr>
            <w:fldChar w:fldCharType="begin"/>
          </w:r>
          <w:r w:rsidRPr="008974F9">
            <w:rPr>
              <w:sz w:val="22"/>
              <w:szCs w:val="22"/>
            </w:rPr>
            <w:instrText>PAGE   \* MERGEFORMAT</w:instrText>
          </w:r>
          <w:r w:rsidRPr="008974F9">
            <w:rPr>
              <w:sz w:val="22"/>
              <w:szCs w:val="22"/>
            </w:rPr>
            <w:fldChar w:fldCharType="separate"/>
          </w:r>
          <w:r w:rsidR="003F643C">
            <w:rPr>
              <w:noProof/>
              <w:sz w:val="22"/>
              <w:szCs w:val="22"/>
            </w:rPr>
            <w:t>2</w:t>
          </w:r>
          <w:r w:rsidRPr="008974F9">
            <w:rPr>
              <w:sz w:val="22"/>
              <w:szCs w:val="22"/>
            </w:rPr>
            <w:fldChar w:fldCharType="end"/>
          </w:r>
        </w:p>
      </w:tc>
    </w:tr>
  </w:tbl>
  <w:p w:rsidR="00ED5E46" w:rsidRPr="000D2607" w:rsidRDefault="003F643C" w:rsidP="00313F4E">
    <w:pPr>
      <w:pStyle w:val="llb"/>
      <w:pBdr>
        <w:top w:val="none" w:sz="0" w:space="0" w:color="auto"/>
      </w:pBdr>
      <w:tabs>
        <w:tab w:val="clear" w:pos="9072"/>
        <w:tab w:val="left" w:pos="1560"/>
        <w:tab w:val="right" w:pos="9781"/>
      </w:tabs>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B93" w:rsidRDefault="00865B93" w:rsidP="00E34DB5">
      <w:pPr>
        <w:spacing w:after="0" w:line="240" w:lineRule="auto"/>
      </w:pPr>
      <w:r>
        <w:separator/>
      </w:r>
    </w:p>
  </w:footnote>
  <w:footnote w:type="continuationSeparator" w:id="0">
    <w:p w:rsidR="00865B93" w:rsidRDefault="00865B93" w:rsidP="00E34DB5">
      <w:pPr>
        <w:spacing w:after="0" w:line="240" w:lineRule="auto"/>
      </w:pPr>
      <w:r>
        <w:continuationSeparator/>
      </w:r>
    </w:p>
  </w:footnote>
  <w:footnote w:id="1">
    <w:p w:rsidR="00E34DB5" w:rsidRDefault="00E34DB5" w:rsidP="00E34DB5">
      <w:pPr>
        <w:pStyle w:val="Lbjegyzetszveg"/>
      </w:pPr>
      <w:r>
        <w:rPr>
          <w:rStyle w:val="Lbjegyzet-hivatkozs"/>
        </w:rPr>
        <w:footnoteRef/>
      </w:r>
      <w:r w:rsidRPr="00610625">
        <w:rPr>
          <w:lang w:val="en-GB"/>
        </w:rPr>
        <w:t xml:space="preserve">Joint </w:t>
      </w:r>
      <w:r>
        <w:rPr>
          <w:lang w:val="en-GB"/>
        </w:rPr>
        <w:t>Cooperation</w:t>
      </w:r>
      <w:r w:rsidRPr="00610625">
        <w:rPr>
          <w:lang w:val="en-GB"/>
        </w:rPr>
        <w:t xml:space="preserve"> Programme for the HUSKROUA ENI CBC Programme 2014-2020 chapter 3.Programme’s strategy, subchapter 3.1.</w:t>
      </w:r>
      <w:r>
        <w:rPr>
          <w:lang w:val="en-GB"/>
        </w:rPr>
        <w:t>2</w:t>
      </w:r>
      <w:r w:rsidRPr="00610625">
        <w:rPr>
          <w:lang w:val="en-GB"/>
        </w:rPr>
        <w:t>.</w:t>
      </w:r>
      <w:r>
        <w:rPr>
          <w:lang w:val="en-GB"/>
        </w:rPr>
        <w:t>Selected thematic objectives</w:t>
      </w:r>
    </w:p>
  </w:footnote>
  <w:footnote w:id="2">
    <w:p w:rsidR="00E34DB5" w:rsidRDefault="00E34DB5" w:rsidP="00E34DB5">
      <w:pPr>
        <w:pStyle w:val="Lbjegyzetszveg"/>
      </w:pPr>
      <w:r>
        <w:rPr>
          <w:rStyle w:val="Lbjegyzet-hivatkozs"/>
        </w:rPr>
        <w:footnoteRef/>
      </w:r>
      <w:r w:rsidRPr="00610625">
        <w:rPr>
          <w:lang w:val="en-GB"/>
        </w:rPr>
        <w:t xml:space="preserve">Joint </w:t>
      </w:r>
      <w:r>
        <w:rPr>
          <w:lang w:val="en-GB"/>
        </w:rPr>
        <w:t>Cooperation</w:t>
      </w:r>
      <w:r w:rsidRPr="00610625">
        <w:rPr>
          <w:lang w:val="en-GB"/>
        </w:rPr>
        <w:t xml:space="preserve"> Programme for the HUSKROUA ENI CBC Programme 2014-2020 chapter 3.Programme’s strategy, subchapter 3.1.</w:t>
      </w:r>
      <w:r>
        <w:rPr>
          <w:lang w:val="en-GB"/>
        </w:rPr>
        <w:t>3</w:t>
      </w:r>
      <w:r w:rsidRPr="00610625">
        <w:rPr>
          <w:lang w:val="en-GB"/>
        </w:rPr>
        <w:t>.</w:t>
      </w:r>
      <w:r>
        <w:rPr>
          <w:lang w:val="en-GB"/>
        </w:rPr>
        <w:t>Content of priorities within the selected thematic objectives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A0" w:firstRow="1" w:lastRow="0" w:firstColumn="1" w:lastColumn="0" w:noHBand="0" w:noVBand="0"/>
    </w:tblPr>
    <w:tblGrid>
      <w:gridCol w:w="4927"/>
      <w:gridCol w:w="4927"/>
    </w:tblGrid>
    <w:tr w:rsidR="00ED5E46" w:rsidTr="008974F9">
      <w:tc>
        <w:tcPr>
          <w:tcW w:w="4943" w:type="dxa"/>
          <w:vAlign w:val="center"/>
        </w:tcPr>
        <w:p w:rsidR="00ED5E46" w:rsidRDefault="003F643C" w:rsidP="008974F9">
          <w:pPr>
            <w:pStyle w:val="lfej"/>
            <w:tabs>
              <w:tab w:val="clear" w:pos="4536"/>
              <w:tab w:val="clear" w:pos="9072"/>
              <w:tab w:val="left" w:pos="5245"/>
            </w:tabs>
            <w:spacing w:before="0" w:after="0" w:line="240" w:lineRule="auto"/>
            <w:jc w:val="left"/>
          </w:pPr>
        </w:p>
      </w:tc>
      <w:tc>
        <w:tcPr>
          <w:tcW w:w="4943" w:type="dxa"/>
          <w:vAlign w:val="bottom"/>
        </w:tcPr>
        <w:p w:rsidR="00ED5E46" w:rsidRPr="008974F9" w:rsidRDefault="003F643C" w:rsidP="008974F9">
          <w:pPr>
            <w:pStyle w:val="lfej"/>
            <w:tabs>
              <w:tab w:val="clear" w:pos="4536"/>
              <w:tab w:val="clear" w:pos="9072"/>
              <w:tab w:val="left" w:pos="5245"/>
            </w:tabs>
            <w:spacing w:before="0" w:after="0" w:line="240" w:lineRule="auto"/>
            <w:rPr>
              <w:i/>
            </w:rPr>
          </w:pPr>
        </w:p>
      </w:tc>
    </w:tr>
  </w:tbl>
  <w:p w:rsidR="00ED5E46" w:rsidRPr="004B7314" w:rsidRDefault="003F643C">
    <w:pPr>
      <w:pStyle w:val="lfej"/>
      <w:rPr>
        <w:lang w:val="hu-H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E46" w:rsidRDefault="003F643C" w:rsidP="00313F4E">
    <w:pPr>
      <w:pStyle w:val="lfej"/>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B22"/>
    <w:multiLevelType w:val="hybridMultilevel"/>
    <w:tmpl w:val="4DD41A12"/>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60D22CD"/>
    <w:multiLevelType w:val="hybridMultilevel"/>
    <w:tmpl w:val="840402C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A494262"/>
    <w:multiLevelType w:val="hybridMultilevel"/>
    <w:tmpl w:val="D73E01A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403A21F3"/>
    <w:multiLevelType w:val="hybridMultilevel"/>
    <w:tmpl w:val="5E904EA8"/>
    <w:lvl w:ilvl="0" w:tplc="040E0005">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6DFF2CC2"/>
    <w:multiLevelType w:val="hybridMultilevel"/>
    <w:tmpl w:val="AFA4DCDA"/>
    <w:lvl w:ilvl="0" w:tplc="056E93C8">
      <w:start w:val="1"/>
      <w:numFmt w:val="bullet"/>
      <w:lvlText w:val=""/>
      <w:lvlJc w:val="left"/>
      <w:pPr>
        <w:ind w:left="720" w:hanging="360"/>
      </w:pPr>
      <w:rPr>
        <w:rFonts w:ascii="Wingdings" w:hAnsi="Wingdings" w:hint="default"/>
      </w:rPr>
    </w:lvl>
    <w:lvl w:ilvl="1" w:tplc="F5C63558" w:tentative="1">
      <w:start w:val="1"/>
      <w:numFmt w:val="bullet"/>
      <w:lvlText w:val="o"/>
      <w:lvlJc w:val="left"/>
      <w:pPr>
        <w:ind w:left="1440" w:hanging="360"/>
      </w:pPr>
      <w:rPr>
        <w:rFonts w:ascii="Courier New" w:hAnsi="Courier New" w:hint="default"/>
      </w:rPr>
    </w:lvl>
    <w:lvl w:ilvl="2" w:tplc="B9C2B5AE" w:tentative="1">
      <w:start w:val="1"/>
      <w:numFmt w:val="bullet"/>
      <w:lvlText w:val=""/>
      <w:lvlJc w:val="left"/>
      <w:pPr>
        <w:ind w:left="2160" w:hanging="360"/>
      </w:pPr>
      <w:rPr>
        <w:rFonts w:ascii="Wingdings" w:hAnsi="Wingdings" w:hint="default"/>
      </w:rPr>
    </w:lvl>
    <w:lvl w:ilvl="3" w:tplc="6BBC9B74" w:tentative="1">
      <w:start w:val="1"/>
      <w:numFmt w:val="bullet"/>
      <w:lvlText w:val=""/>
      <w:lvlJc w:val="left"/>
      <w:pPr>
        <w:ind w:left="2880" w:hanging="360"/>
      </w:pPr>
      <w:rPr>
        <w:rFonts w:ascii="Symbol" w:hAnsi="Symbol" w:hint="default"/>
      </w:rPr>
    </w:lvl>
    <w:lvl w:ilvl="4" w:tplc="1B0E5996" w:tentative="1">
      <w:start w:val="1"/>
      <w:numFmt w:val="bullet"/>
      <w:lvlText w:val="o"/>
      <w:lvlJc w:val="left"/>
      <w:pPr>
        <w:ind w:left="3600" w:hanging="360"/>
      </w:pPr>
      <w:rPr>
        <w:rFonts w:ascii="Courier New" w:hAnsi="Courier New" w:hint="default"/>
      </w:rPr>
    </w:lvl>
    <w:lvl w:ilvl="5" w:tplc="2A16F7D6" w:tentative="1">
      <w:start w:val="1"/>
      <w:numFmt w:val="bullet"/>
      <w:lvlText w:val=""/>
      <w:lvlJc w:val="left"/>
      <w:pPr>
        <w:ind w:left="4320" w:hanging="360"/>
      </w:pPr>
      <w:rPr>
        <w:rFonts w:ascii="Wingdings" w:hAnsi="Wingdings" w:hint="default"/>
      </w:rPr>
    </w:lvl>
    <w:lvl w:ilvl="6" w:tplc="554A706E" w:tentative="1">
      <w:start w:val="1"/>
      <w:numFmt w:val="bullet"/>
      <w:lvlText w:val=""/>
      <w:lvlJc w:val="left"/>
      <w:pPr>
        <w:ind w:left="5040" w:hanging="360"/>
      </w:pPr>
      <w:rPr>
        <w:rFonts w:ascii="Symbol" w:hAnsi="Symbol" w:hint="default"/>
      </w:rPr>
    </w:lvl>
    <w:lvl w:ilvl="7" w:tplc="BD560CB6" w:tentative="1">
      <w:start w:val="1"/>
      <w:numFmt w:val="bullet"/>
      <w:lvlText w:val="o"/>
      <w:lvlJc w:val="left"/>
      <w:pPr>
        <w:ind w:left="5760" w:hanging="360"/>
      </w:pPr>
      <w:rPr>
        <w:rFonts w:ascii="Courier New" w:hAnsi="Courier New" w:hint="default"/>
      </w:rPr>
    </w:lvl>
    <w:lvl w:ilvl="8" w:tplc="12A6B758" w:tentative="1">
      <w:start w:val="1"/>
      <w:numFmt w:val="bullet"/>
      <w:lvlText w:val=""/>
      <w:lvlJc w:val="left"/>
      <w:pPr>
        <w:ind w:left="6480" w:hanging="360"/>
      </w:pPr>
      <w:rPr>
        <w:rFonts w:ascii="Wingdings" w:hAnsi="Wingdings" w:hint="default"/>
      </w:rPr>
    </w:lvl>
  </w:abstractNum>
  <w:abstractNum w:abstractNumId="5">
    <w:nsid w:val="7DAA3060"/>
    <w:multiLevelType w:val="hybridMultilevel"/>
    <w:tmpl w:val="424CDAA0"/>
    <w:lvl w:ilvl="0" w:tplc="2F1A7782">
      <w:start w:val="1"/>
      <w:numFmt w:val="bullet"/>
      <w:lvlText w:val=""/>
      <w:lvlJc w:val="left"/>
      <w:pPr>
        <w:ind w:left="720" w:hanging="360"/>
      </w:pPr>
      <w:rPr>
        <w:rFonts w:ascii="Wingdings" w:hAnsi="Wingdings" w:hint="default"/>
      </w:rPr>
    </w:lvl>
    <w:lvl w:ilvl="1" w:tplc="2ED8614C" w:tentative="1">
      <w:start w:val="1"/>
      <w:numFmt w:val="bullet"/>
      <w:lvlText w:val="o"/>
      <w:lvlJc w:val="left"/>
      <w:pPr>
        <w:ind w:left="1440" w:hanging="360"/>
      </w:pPr>
      <w:rPr>
        <w:rFonts w:ascii="Courier New" w:hAnsi="Courier New" w:hint="default"/>
      </w:rPr>
    </w:lvl>
    <w:lvl w:ilvl="2" w:tplc="181C3140" w:tentative="1">
      <w:start w:val="1"/>
      <w:numFmt w:val="bullet"/>
      <w:lvlText w:val=""/>
      <w:lvlJc w:val="left"/>
      <w:pPr>
        <w:ind w:left="2160" w:hanging="360"/>
      </w:pPr>
      <w:rPr>
        <w:rFonts w:ascii="Wingdings" w:hAnsi="Wingdings" w:hint="default"/>
      </w:rPr>
    </w:lvl>
    <w:lvl w:ilvl="3" w:tplc="C47AF1E4" w:tentative="1">
      <w:start w:val="1"/>
      <w:numFmt w:val="bullet"/>
      <w:lvlText w:val=""/>
      <w:lvlJc w:val="left"/>
      <w:pPr>
        <w:ind w:left="2880" w:hanging="360"/>
      </w:pPr>
      <w:rPr>
        <w:rFonts w:ascii="Symbol" w:hAnsi="Symbol" w:hint="default"/>
      </w:rPr>
    </w:lvl>
    <w:lvl w:ilvl="4" w:tplc="3A22801C" w:tentative="1">
      <w:start w:val="1"/>
      <w:numFmt w:val="bullet"/>
      <w:lvlText w:val="o"/>
      <w:lvlJc w:val="left"/>
      <w:pPr>
        <w:ind w:left="3600" w:hanging="360"/>
      </w:pPr>
      <w:rPr>
        <w:rFonts w:ascii="Courier New" w:hAnsi="Courier New" w:hint="default"/>
      </w:rPr>
    </w:lvl>
    <w:lvl w:ilvl="5" w:tplc="1B784BBC" w:tentative="1">
      <w:start w:val="1"/>
      <w:numFmt w:val="bullet"/>
      <w:lvlText w:val=""/>
      <w:lvlJc w:val="left"/>
      <w:pPr>
        <w:ind w:left="4320" w:hanging="360"/>
      </w:pPr>
      <w:rPr>
        <w:rFonts w:ascii="Wingdings" w:hAnsi="Wingdings" w:hint="default"/>
      </w:rPr>
    </w:lvl>
    <w:lvl w:ilvl="6" w:tplc="BC7089A8" w:tentative="1">
      <w:start w:val="1"/>
      <w:numFmt w:val="bullet"/>
      <w:lvlText w:val=""/>
      <w:lvlJc w:val="left"/>
      <w:pPr>
        <w:ind w:left="5040" w:hanging="360"/>
      </w:pPr>
      <w:rPr>
        <w:rFonts w:ascii="Symbol" w:hAnsi="Symbol" w:hint="default"/>
      </w:rPr>
    </w:lvl>
    <w:lvl w:ilvl="7" w:tplc="80A4AC72" w:tentative="1">
      <w:start w:val="1"/>
      <w:numFmt w:val="bullet"/>
      <w:lvlText w:val="o"/>
      <w:lvlJc w:val="left"/>
      <w:pPr>
        <w:ind w:left="5760" w:hanging="360"/>
      </w:pPr>
      <w:rPr>
        <w:rFonts w:ascii="Courier New" w:hAnsi="Courier New" w:hint="default"/>
      </w:rPr>
    </w:lvl>
    <w:lvl w:ilvl="8" w:tplc="118ECA7A"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7172"/>
  </w:hdrShapeDefaults>
  <w:footnotePr>
    <w:footnote w:id="-1"/>
    <w:footnote w:id="0"/>
  </w:footnotePr>
  <w:endnotePr>
    <w:numFmt w:val="decimal"/>
    <w:endnote w:id="-1"/>
    <w:endnote w:id="0"/>
  </w:endnotePr>
  <w:compat>
    <w:compatSetting w:name="compatibilityMode" w:uri="http://schemas.microsoft.com/office/word" w:val="12"/>
  </w:compat>
  <w:rsids>
    <w:rsidRoot w:val="001F7A55"/>
    <w:rsid w:val="00070B25"/>
    <w:rsid w:val="00116D38"/>
    <w:rsid w:val="001F7A55"/>
    <w:rsid w:val="00285EDD"/>
    <w:rsid w:val="003F643C"/>
    <w:rsid w:val="004454FA"/>
    <w:rsid w:val="00447BA2"/>
    <w:rsid w:val="004641C9"/>
    <w:rsid w:val="004B4E9D"/>
    <w:rsid w:val="005C0E51"/>
    <w:rsid w:val="005E35A5"/>
    <w:rsid w:val="006E2099"/>
    <w:rsid w:val="006F4CDD"/>
    <w:rsid w:val="00822CC9"/>
    <w:rsid w:val="00865B93"/>
    <w:rsid w:val="00937A1C"/>
    <w:rsid w:val="00B0364C"/>
    <w:rsid w:val="00B32306"/>
    <w:rsid w:val="00CB0684"/>
    <w:rsid w:val="00E34DB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717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aliases w:val="EC_Normál"/>
    <w:qFormat/>
    <w:rsid w:val="001F7A55"/>
    <w:rPr>
      <w:rFonts w:ascii="H_Futura Light BT" w:eastAsia="Calibri" w:hAnsi="H_Futura Light BT" w:cs="Times New Roman"/>
      <w:color w:val="5B595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basedOn w:val="Norml"/>
    <w:link w:val="NincstrkzChar"/>
    <w:uiPriority w:val="99"/>
    <w:qFormat/>
    <w:rsid w:val="001F7A55"/>
    <w:pPr>
      <w:spacing w:after="0" w:line="240" w:lineRule="auto"/>
    </w:pPr>
    <w:rPr>
      <w:sz w:val="20"/>
      <w:szCs w:val="20"/>
      <w:lang w:eastAsia="ja-JP"/>
    </w:rPr>
  </w:style>
  <w:style w:type="character" w:customStyle="1" w:styleId="NincstrkzChar">
    <w:name w:val="Nincs térköz Char"/>
    <w:link w:val="Nincstrkz"/>
    <w:uiPriority w:val="99"/>
    <w:locked/>
    <w:rsid w:val="001F7A55"/>
    <w:rPr>
      <w:rFonts w:ascii="H_Futura Light BT" w:eastAsia="Calibri" w:hAnsi="H_Futura Light BT" w:cs="Times New Roman"/>
      <w:color w:val="5B595A"/>
      <w:sz w:val="20"/>
      <w:szCs w:val="20"/>
      <w:lang w:eastAsia="ja-JP"/>
    </w:rPr>
  </w:style>
  <w:style w:type="paragraph" w:customStyle="1" w:styleId="cgadatok">
    <w:name w:val="cégadatok"/>
    <w:basedOn w:val="Norml"/>
    <w:uiPriority w:val="99"/>
    <w:rsid w:val="001F7A55"/>
    <w:pPr>
      <w:spacing w:after="0" w:line="480" w:lineRule="auto"/>
      <w:jc w:val="center"/>
    </w:pPr>
    <w:rPr>
      <w:rFonts w:ascii="Calibri" w:eastAsia="Times New Roman" w:hAnsi="Calibri"/>
      <w:color w:val="auto"/>
      <w:szCs w:val="20"/>
      <w:lang w:val="en-GB" w:eastAsia="hu-HU"/>
    </w:rPr>
  </w:style>
  <w:style w:type="paragraph" w:styleId="Buborkszveg">
    <w:name w:val="Balloon Text"/>
    <w:basedOn w:val="Norml"/>
    <w:link w:val="BuborkszvegChar"/>
    <w:uiPriority w:val="99"/>
    <w:semiHidden/>
    <w:unhideWhenUsed/>
    <w:rsid w:val="001F7A5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F7A55"/>
    <w:rPr>
      <w:rFonts w:ascii="Tahoma" w:eastAsia="Calibri" w:hAnsi="Tahoma" w:cs="Tahoma"/>
      <w:color w:val="5B595A"/>
      <w:sz w:val="16"/>
      <w:szCs w:val="16"/>
    </w:rPr>
  </w:style>
  <w:style w:type="paragraph" w:styleId="lfej">
    <w:name w:val="header"/>
    <w:basedOn w:val="Norml"/>
    <w:link w:val="lfejChar"/>
    <w:uiPriority w:val="99"/>
    <w:rsid w:val="001F7A55"/>
    <w:pPr>
      <w:tabs>
        <w:tab w:val="center" w:pos="4536"/>
        <w:tab w:val="right" w:pos="9072"/>
      </w:tabs>
      <w:spacing w:before="60" w:after="60" w:line="360" w:lineRule="auto"/>
      <w:jc w:val="right"/>
    </w:pPr>
    <w:rPr>
      <w:rFonts w:ascii="Calibri" w:eastAsia="Times New Roman" w:hAnsi="Calibri"/>
      <w:color w:val="auto"/>
      <w:sz w:val="24"/>
      <w:szCs w:val="20"/>
      <w:lang w:val="en-US"/>
    </w:rPr>
  </w:style>
  <w:style w:type="character" w:customStyle="1" w:styleId="lfejChar">
    <w:name w:val="Élőfej Char"/>
    <w:basedOn w:val="Bekezdsalapbettpusa"/>
    <w:link w:val="lfej"/>
    <w:uiPriority w:val="99"/>
    <w:rsid w:val="001F7A55"/>
    <w:rPr>
      <w:rFonts w:ascii="Calibri" w:eastAsia="Times New Roman" w:hAnsi="Calibri" w:cs="Times New Roman"/>
      <w:sz w:val="24"/>
      <w:szCs w:val="20"/>
      <w:lang w:val="en-US"/>
    </w:rPr>
  </w:style>
  <w:style w:type="paragraph" w:styleId="llb">
    <w:name w:val="footer"/>
    <w:basedOn w:val="Norml"/>
    <w:link w:val="llbChar"/>
    <w:uiPriority w:val="99"/>
    <w:rsid w:val="001F7A55"/>
    <w:pPr>
      <w:pBdr>
        <w:top w:val="single" w:sz="4" w:space="1" w:color="auto"/>
      </w:pBdr>
      <w:tabs>
        <w:tab w:val="center" w:pos="4536"/>
        <w:tab w:val="right" w:pos="9072"/>
      </w:tabs>
      <w:spacing w:after="0" w:line="360" w:lineRule="auto"/>
    </w:pPr>
    <w:rPr>
      <w:rFonts w:ascii="Calibri" w:eastAsia="Times New Roman" w:hAnsi="Calibri"/>
      <w:color w:val="auto"/>
      <w:sz w:val="24"/>
      <w:szCs w:val="20"/>
      <w:lang w:val="en-US"/>
    </w:rPr>
  </w:style>
  <w:style w:type="character" w:customStyle="1" w:styleId="llbChar">
    <w:name w:val="Élőláb Char"/>
    <w:basedOn w:val="Bekezdsalapbettpusa"/>
    <w:link w:val="llb"/>
    <w:uiPriority w:val="99"/>
    <w:rsid w:val="001F7A55"/>
    <w:rPr>
      <w:rFonts w:ascii="Calibri" w:eastAsia="Times New Roman" w:hAnsi="Calibri" w:cs="Times New Roman"/>
      <w:sz w:val="24"/>
      <w:szCs w:val="20"/>
      <w:lang w:val="en-US"/>
    </w:rPr>
  </w:style>
  <w:style w:type="character" w:customStyle="1" w:styleId="apple-style-span">
    <w:name w:val="apple-style-span"/>
    <w:uiPriority w:val="99"/>
    <w:rsid w:val="001F7A55"/>
    <w:rPr>
      <w:rFonts w:ascii="Calibri" w:hAnsi="Calibri"/>
    </w:rPr>
  </w:style>
  <w:style w:type="paragraph" w:styleId="Listaszerbekezds">
    <w:name w:val="List Paragraph"/>
    <w:basedOn w:val="Norml"/>
    <w:link w:val="ListaszerbekezdsChar"/>
    <w:uiPriority w:val="34"/>
    <w:qFormat/>
    <w:rsid w:val="00E34DB5"/>
    <w:pPr>
      <w:ind w:left="720"/>
      <w:contextualSpacing/>
    </w:pPr>
    <w:rPr>
      <w:sz w:val="20"/>
      <w:szCs w:val="20"/>
      <w:lang w:eastAsia="ja-JP"/>
    </w:rPr>
  </w:style>
  <w:style w:type="character" w:customStyle="1" w:styleId="ListaszerbekezdsChar">
    <w:name w:val="Listaszerű bekezdés Char"/>
    <w:link w:val="Listaszerbekezds"/>
    <w:uiPriority w:val="34"/>
    <w:locked/>
    <w:rsid w:val="00E34DB5"/>
    <w:rPr>
      <w:rFonts w:ascii="H_Futura Light BT" w:eastAsia="Calibri" w:hAnsi="H_Futura Light BT" w:cs="Times New Roman"/>
      <w:color w:val="5B595A"/>
      <w:sz w:val="20"/>
      <w:szCs w:val="20"/>
      <w:lang w:eastAsia="ja-JP"/>
    </w:rPr>
  </w:style>
  <w:style w:type="paragraph" w:styleId="Lbjegyzetszveg">
    <w:name w:val="footnote text"/>
    <w:basedOn w:val="Norml"/>
    <w:link w:val="LbjegyzetszvegChar"/>
    <w:uiPriority w:val="99"/>
    <w:rsid w:val="00E34DB5"/>
    <w:pPr>
      <w:spacing w:after="0" w:line="240" w:lineRule="auto"/>
    </w:pPr>
    <w:rPr>
      <w:rFonts w:ascii="Calibri" w:eastAsia="Times New Roman" w:hAnsi="Calibri"/>
      <w:color w:val="auto"/>
      <w:sz w:val="20"/>
      <w:szCs w:val="20"/>
      <w:lang w:eastAsia="hu-HU"/>
    </w:rPr>
  </w:style>
  <w:style w:type="character" w:customStyle="1" w:styleId="LbjegyzetszvegChar">
    <w:name w:val="Lábjegyzetszöveg Char"/>
    <w:basedOn w:val="Bekezdsalapbettpusa"/>
    <w:link w:val="Lbjegyzetszveg"/>
    <w:uiPriority w:val="99"/>
    <w:rsid w:val="00E34DB5"/>
    <w:rPr>
      <w:rFonts w:ascii="Calibri" w:eastAsia="Times New Roman" w:hAnsi="Calibri" w:cs="Times New Roman"/>
      <w:sz w:val="20"/>
      <w:szCs w:val="20"/>
      <w:lang w:eastAsia="hu-HU"/>
    </w:rPr>
  </w:style>
  <w:style w:type="character" w:styleId="Lbjegyzet-hivatkozs">
    <w:name w:val="footnote reference"/>
    <w:basedOn w:val="Bekezdsalapbettpusa"/>
    <w:uiPriority w:val="99"/>
    <w:rsid w:val="00E34DB5"/>
    <w:rPr>
      <w:rFonts w:cs="Times New Roman"/>
      <w:vertAlign w:val="superscript"/>
    </w:rPr>
  </w:style>
  <w:style w:type="paragraph" w:customStyle="1" w:styleId="Tanulmnyszveg">
    <w:name w:val="Tanulmány_szöveg"/>
    <w:basedOn w:val="Norml"/>
    <w:uiPriority w:val="99"/>
    <w:rsid w:val="00285EDD"/>
    <w:pPr>
      <w:spacing w:before="120" w:after="120" w:line="300" w:lineRule="auto"/>
      <w:jc w:val="both"/>
    </w:pPr>
    <w:rPr>
      <w:rFonts w:ascii="Calibri" w:eastAsia="Times New Roman" w:hAnsi="Calibri"/>
      <w:color w:val="auto"/>
      <w:szCs w:val="20"/>
      <w:lang w:val="en-GB" w:eastAsia="hu-HU"/>
    </w:rPr>
  </w:style>
  <w:style w:type="paragraph" w:customStyle="1" w:styleId="ECszveg">
    <w:name w:val="EC_szöveg"/>
    <w:basedOn w:val="Norml"/>
    <w:next w:val="Norml"/>
    <w:link w:val="ECszvegChar"/>
    <w:qFormat/>
    <w:rsid w:val="00B0364C"/>
    <w:pPr>
      <w:spacing w:after="120"/>
      <w:ind w:firstLine="142"/>
      <w:contextualSpacing/>
      <w:jc w:val="both"/>
    </w:pPr>
    <w:rPr>
      <w:rFonts w:asciiTheme="minorHAnsi" w:eastAsia="Times New Roman" w:hAnsiTheme="minorHAnsi"/>
      <w:sz w:val="24"/>
    </w:rPr>
  </w:style>
  <w:style w:type="character" w:customStyle="1" w:styleId="ECszvegChar">
    <w:name w:val="EC_szöveg Char"/>
    <w:basedOn w:val="Bekezdsalapbettpusa"/>
    <w:link w:val="ECszveg"/>
    <w:rsid w:val="00B0364C"/>
    <w:rPr>
      <w:rFonts w:eastAsia="Times New Roman" w:cs="Times New Roman"/>
      <w:color w:val="5B595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11</Pages>
  <Words>3134</Words>
  <Characters>17866</Characters>
  <Application>Microsoft Office Word</Application>
  <DocSecurity>0</DocSecurity>
  <Lines>148</Lines>
  <Paragraphs>41</Paragraphs>
  <ScaleCrop>false</ScaleCrop>
  <HeadingPairs>
    <vt:vector size="2" baseType="variant">
      <vt:variant>
        <vt:lpstr>Cím</vt:lpstr>
      </vt:variant>
      <vt:variant>
        <vt:i4>1</vt:i4>
      </vt:variant>
    </vt:vector>
  </HeadingPairs>
  <TitlesOfParts>
    <vt:vector size="1" baseType="lpstr">
      <vt:lpstr/>
    </vt:vector>
  </TitlesOfParts>
  <Company>HP</Company>
  <LinksUpToDate>false</LinksUpToDate>
  <CharactersWithSpaces>20959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Gep2</dc:creator>
  <cp:lastModifiedBy>Székelyhidi Eszter</cp:lastModifiedBy>
  <cp:revision>12</cp:revision>
  <dcterms:created xsi:type="dcterms:W3CDTF">2015-03-13T09:26:00Z</dcterms:created>
  <dcterms:modified xsi:type="dcterms:W3CDTF">2015-03-16T17:29:00Z</dcterms:modified>
</cp:coreProperties>
</file>